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765831081"/>
        <w:lock w:val="contentLocked"/>
        <w:placeholder>
          <w:docPart w:val="DefaultPlaceholder_-1854013440"/>
        </w:placeholder>
        <w:group/>
      </w:sdtPr>
      <w:sdtEndPr>
        <w:rPr>
          <w:sz w:val="22"/>
        </w:rPr>
      </w:sdtEndPr>
      <w:sdtContent>
        <w:p w14:paraId="7344AA71" w14:textId="3F6EA272" w:rsidR="005D3EE3" w:rsidRDefault="00AA410C" w:rsidP="00030483">
          <w:pPr>
            <w:suppressAutoHyphens/>
            <w:rPr>
              <w:sz w:val="2"/>
            </w:rPr>
          </w:pPr>
          <w:r>
            <w:rPr>
              <w:sz w:val="2"/>
            </w:rPr>
            <w:t>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5D3EE3" w14:paraId="6A7DAEBE" w14:textId="77777777">
            <w:trPr>
              <w:trHeight w:hRule="exact" w:val="1134"/>
            </w:trPr>
            <w:tc>
              <w:tcPr>
                <w:tcW w:w="9979" w:type="dxa"/>
                <w:tcBorders>
                  <w:top w:val="nil"/>
                  <w:left w:val="nil"/>
                  <w:bottom w:val="nil"/>
                  <w:right w:val="nil"/>
                </w:tcBorders>
              </w:tcPr>
              <w:p w14:paraId="2C4B941C" w14:textId="77777777" w:rsidR="005D3EE3" w:rsidRDefault="005D3EE3" w:rsidP="00030483">
                <w:pPr>
                  <w:suppressAutoHyphens/>
                </w:pPr>
              </w:p>
            </w:tc>
          </w:tr>
        </w:tbl>
        <w:p w14:paraId="72A58E2E" w14:textId="77777777" w:rsidR="005D3EE3" w:rsidRPr="00902E7D" w:rsidRDefault="005D3EE3" w:rsidP="00030483">
          <w:pPr>
            <w:suppressAutoHyphens/>
            <w:rPr>
              <w:sz w:val="2"/>
              <w:szCs w:val="2"/>
            </w:rPr>
            <w:sectPr w:rsidR="005D3EE3" w:rsidRPr="00902E7D">
              <w:headerReference w:type="default" r:id="rId8"/>
              <w:footerReference w:type="default" r:id="rId9"/>
              <w:footerReference w:type="first" r:id="rId10"/>
              <w:type w:val="continuous"/>
              <w:pgSz w:w="11906" w:h="16838" w:code="9"/>
              <w:pgMar w:top="454" w:right="680" w:bottom="737" w:left="1361" w:header="284" w:footer="454" w:gutter="0"/>
              <w:cols w:space="720"/>
              <w:titlePg/>
            </w:sectPr>
          </w:pPr>
        </w:p>
        <w:p w14:paraId="544C6EC6" w14:textId="77777777" w:rsidR="005A35D6" w:rsidRPr="005A35D6" w:rsidRDefault="001644FD" w:rsidP="00030483">
          <w:pPr>
            <w:pStyle w:val="berschrift1"/>
            <w:suppressAutoHyphens/>
            <w:jc w:val="left"/>
            <w:rPr>
              <w:sz w:val="28"/>
              <w:szCs w:val="28"/>
            </w:rPr>
          </w:pPr>
          <w:r>
            <w:rPr>
              <w:sz w:val="28"/>
              <w:szCs w:val="28"/>
            </w:rPr>
            <w:t>Hinweise</w:t>
          </w:r>
        </w:p>
        <w:p w14:paraId="134289B5" w14:textId="77777777" w:rsidR="005A35D6" w:rsidRDefault="005A35D6" w:rsidP="00030483">
          <w:pPr>
            <w:suppressAutoHyphens/>
            <w:rPr>
              <w:b/>
            </w:rPr>
          </w:pPr>
          <w:r>
            <w:rPr>
              <w:b/>
            </w:rPr>
            <w:t xml:space="preserve">zum Gutachtenauftrag bei </w:t>
          </w:r>
          <w:r w:rsidR="001E7074">
            <w:rPr>
              <w:b/>
            </w:rPr>
            <w:t>BK 2102/2112</w:t>
          </w:r>
        </w:p>
        <w:p w14:paraId="7AA9AE2E" w14:textId="77777777" w:rsidR="005A35D6" w:rsidRDefault="005A35D6" w:rsidP="00030483">
          <w:pPr>
            <w:suppressAutoHyphens/>
            <w:spacing w:after="120"/>
          </w:pPr>
        </w:p>
        <w:p w14:paraId="5A8C1B36" w14:textId="77777777" w:rsidR="005A35D6" w:rsidRDefault="005A35D6" w:rsidP="00030483">
          <w:pPr>
            <w:pStyle w:val="Textkrper"/>
            <w:suppressAutoHyphens/>
            <w:spacing w:after="240"/>
          </w:pPr>
          <w:r>
            <w:t xml:space="preserve">Die nachstehenden Hinweise </w:t>
          </w:r>
          <w:r w:rsidR="001E7074" w:rsidRPr="009565B3">
            <w:t>soll</w:t>
          </w:r>
          <w:r w:rsidR="001E7074">
            <w:t>en</w:t>
          </w:r>
          <w:r w:rsidR="001E7074" w:rsidRPr="009565B3">
            <w:t xml:space="preserve"> eine Hilfestellung bei der Interpretation einzelner</w:t>
          </w:r>
          <w:r w:rsidR="001E7074">
            <w:t>,</w:t>
          </w:r>
          <w:r w:rsidR="001E7074" w:rsidRPr="009565B3">
            <w:t xml:space="preserve"> in dem Gutachtenauftrag verwendeter</w:t>
          </w:r>
          <w:r w:rsidR="001E7074">
            <w:t>,</w:t>
          </w:r>
          <w:r w:rsidR="001E7074" w:rsidRPr="009565B3">
            <w:t xml:space="preserve"> Begrifflichkeiten bieten.</w:t>
          </w:r>
        </w:p>
        <w:tbl>
          <w:tblPr>
            <w:tblW w:w="9978" w:type="dxa"/>
            <w:tblLayout w:type="fixed"/>
            <w:tblCellMar>
              <w:left w:w="70" w:type="dxa"/>
              <w:right w:w="70" w:type="dxa"/>
            </w:tblCellMar>
            <w:tblLook w:val="0000" w:firstRow="0" w:lastRow="0" w:firstColumn="0" w:lastColumn="0" w:noHBand="0" w:noVBand="0"/>
          </w:tblPr>
          <w:tblGrid>
            <w:gridCol w:w="680"/>
            <w:gridCol w:w="9298"/>
          </w:tblGrid>
          <w:tr w:rsidR="001E7074" w14:paraId="32463CE0" w14:textId="77777777" w:rsidTr="00AA5159">
            <w:trPr>
              <w:cantSplit/>
            </w:trPr>
            <w:tc>
              <w:tcPr>
                <w:tcW w:w="680" w:type="dxa"/>
              </w:tcPr>
              <w:p w14:paraId="4BFCD43D" w14:textId="77777777" w:rsidR="001E7074" w:rsidRDefault="001E7074" w:rsidP="00030483">
                <w:pPr>
                  <w:tabs>
                    <w:tab w:val="left" w:pos="1260"/>
                  </w:tabs>
                  <w:suppressAutoHyphens/>
                  <w:spacing w:after="240"/>
                  <w:rPr>
                    <w:b/>
                  </w:rPr>
                </w:pPr>
                <w:r>
                  <w:rPr>
                    <w:b/>
                  </w:rPr>
                  <w:t>1</w:t>
                </w:r>
              </w:p>
            </w:tc>
            <w:tc>
              <w:tcPr>
                <w:tcW w:w="9298" w:type="dxa"/>
              </w:tcPr>
              <w:p w14:paraId="3D66F809" w14:textId="77777777" w:rsidR="001E7074" w:rsidRPr="000A0B8C" w:rsidRDefault="001E7074" w:rsidP="00030483">
                <w:pPr>
                  <w:pStyle w:val="Kopfzeile"/>
                  <w:tabs>
                    <w:tab w:val="clear" w:pos="4536"/>
                    <w:tab w:val="clear" w:pos="9072"/>
                    <w:tab w:val="left" w:pos="1260"/>
                  </w:tabs>
                  <w:suppressAutoHyphens/>
                  <w:spacing w:after="240"/>
                  <w:rPr>
                    <w:b/>
                  </w:rPr>
                </w:pPr>
                <w:r w:rsidRPr="000A0B8C">
                  <w:rPr>
                    <w:b/>
                  </w:rPr>
                  <w:t>Primärer Meniskusschaden/sekundärer Meniskusschaden</w:t>
                </w:r>
              </w:p>
            </w:tc>
          </w:tr>
          <w:tr w:rsidR="001E7074" w14:paraId="1A100C9A" w14:textId="77777777" w:rsidTr="00AA5159">
            <w:trPr>
              <w:cantSplit/>
            </w:trPr>
            <w:tc>
              <w:tcPr>
                <w:tcW w:w="680" w:type="dxa"/>
              </w:tcPr>
              <w:p w14:paraId="4B9A1B6A" w14:textId="77777777" w:rsidR="001E7074" w:rsidRPr="000A0B8C" w:rsidRDefault="001E7074" w:rsidP="00030483">
                <w:pPr>
                  <w:tabs>
                    <w:tab w:val="left" w:pos="1260"/>
                  </w:tabs>
                  <w:suppressAutoHyphens/>
                  <w:spacing w:after="240"/>
                </w:pPr>
                <w:r w:rsidRPr="000A0B8C">
                  <w:t>1.1</w:t>
                </w:r>
              </w:p>
            </w:tc>
            <w:tc>
              <w:tcPr>
                <w:tcW w:w="9298" w:type="dxa"/>
              </w:tcPr>
              <w:p w14:paraId="721A9AA1" w14:textId="77777777" w:rsidR="001E7074" w:rsidRPr="000A0B8C" w:rsidRDefault="001E7074" w:rsidP="00030483">
                <w:pPr>
                  <w:pStyle w:val="Kopfzeile"/>
                  <w:tabs>
                    <w:tab w:val="clear" w:pos="4536"/>
                    <w:tab w:val="clear" w:pos="9072"/>
                    <w:tab w:val="left" w:pos="1260"/>
                  </w:tabs>
                  <w:suppressAutoHyphens/>
                  <w:spacing w:after="240"/>
                </w:pPr>
                <w:r w:rsidRPr="000A0B8C">
                  <w:t>Primärer Meniskusschaden</w:t>
                </w:r>
              </w:p>
              <w:p w14:paraId="01AB0CA0" w14:textId="1D470777" w:rsidR="001E7074" w:rsidRDefault="001E7074" w:rsidP="00030483">
                <w:pPr>
                  <w:pStyle w:val="Kopfzeile"/>
                  <w:tabs>
                    <w:tab w:val="clear" w:pos="4536"/>
                    <w:tab w:val="clear" w:pos="9072"/>
                    <w:tab w:val="left" w:pos="1260"/>
                  </w:tabs>
                  <w:suppressAutoHyphens/>
                  <w:spacing w:after="240"/>
                </w:pPr>
                <w:r w:rsidRPr="000A0B8C">
                  <w:t>Aufbruch- und Degenerationserscheinungen mit einer Einbuße an Elastizität und Gleit</w:t>
                </w:r>
                <w:r w:rsidR="00030483">
                  <w:softHyphen/>
                </w:r>
                <w:r w:rsidRPr="000A0B8C">
                  <w:t>fähigkeit des gesamten Meniskussystems, die zu eine</w:t>
                </w:r>
                <w:r w:rsidR="002F7F36">
                  <w:t>r</w:t>
                </w:r>
                <w:r w:rsidRPr="000A0B8C">
                  <w:t xml:space="preserve"> erhöhten Rissbereitschaft führen</w:t>
                </w:r>
                <w:r>
                  <w:t>.</w:t>
                </w:r>
                <w:r w:rsidRPr="000A0B8C">
                  <w:t xml:space="preserve"> Die „spontane“ Lösung oder Berstung des Meniskus ist dabei unter den in </w:t>
                </w:r>
                <w:r>
                  <w:t>der BK-</w:t>
                </w:r>
                <w:r w:rsidRPr="000A0B8C">
                  <w:t>Nr. 2102 genannten Voraussetzungen eine Berufskrankheit (Mehrtens/Brandenburg BK-Nr. 2102 Rn.</w:t>
                </w:r>
                <w:r w:rsidR="00030483">
                  <w:t> </w:t>
                </w:r>
                <w:r w:rsidRPr="000A0B8C">
                  <w:t>2.1). Wenn zusätzliche Knorpelschäden vorliegen, ist eine zeitliche Abgrenzung vorzunehmen, um nachzuweisen, dass der Meniskusschaden zeitlich vor dem Knorpel</w:t>
                </w:r>
                <w:r w:rsidR="00030483">
                  <w:softHyphen/>
                </w:r>
                <w:r w:rsidRPr="000A0B8C">
                  <w:t>schaden eingetreten ist.</w:t>
                </w:r>
              </w:p>
            </w:tc>
          </w:tr>
          <w:tr w:rsidR="001E7074" w14:paraId="131BBE9F" w14:textId="77777777" w:rsidTr="00AA5159">
            <w:trPr>
              <w:cantSplit/>
            </w:trPr>
            <w:tc>
              <w:tcPr>
                <w:tcW w:w="680" w:type="dxa"/>
              </w:tcPr>
              <w:p w14:paraId="74C02572" w14:textId="77777777" w:rsidR="001E7074" w:rsidRPr="000A0B8C" w:rsidRDefault="001E7074" w:rsidP="00030483">
                <w:pPr>
                  <w:tabs>
                    <w:tab w:val="left" w:pos="1260"/>
                  </w:tabs>
                  <w:suppressAutoHyphens/>
                </w:pPr>
                <w:r w:rsidRPr="000A0B8C">
                  <w:t>1.2</w:t>
                </w:r>
              </w:p>
            </w:tc>
            <w:tc>
              <w:tcPr>
                <w:tcW w:w="9298" w:type="dxa"/>
              </w:tcPr>
              <w:p w14:paraId="0A696B6C" w14:textId="77777777" w:rsidR="001E7074" w:rsidRDefault="001E7074" w:rsidP="00030483">
                <w:pPr>
                  <w:pStyle w:val="Kopfzeile"/>
                  <w:tabs>
                    <w:tab w:val="clear" w:pos="4536"/>
                    <w:tab w:val="clear" w:pos="9072"/>
                    <w:tab w:val="left" w:pos="1260"/>
                  </w:tabs>
                  <w:suppressAutoHyphens/>
                  <w:spacing w:after="240"/>
                </w:pPr>
                <w:r w:rsidRPr="000A0B8C">
                  <w:t>Sekundärer Meniskusschaden</w:t>
                </w:r>
              </w:p>
              <w:p w14:paraId="094ABC05" w14:textId="77777777" w:rsidR="001E7074" w:rsidRPr="000A0B8C" w:rsidRDefault="001E7074" w:rsidP="00030483">
                <w:pPr>
                  <w:pStyle w:val="Kopfzeile"/>
                  <w:tabs>
                    <w:tab w:val="clear" w:pos="4536"/>
                    <w:tab w:val="clear" w:pos="9072"/>
                    <w:tab w:val="left" w:pos="1260"/>
                  </w:tabs>
                  <w:suppressAutoHyphens/>
                  <w:spacing w:after="240"/>
                </w:pPr>
                <w:r w:rsidRPr="000A0B8C">
                  <w:t>In Abgrenzung zum primären Meniskusschaden liegen sekundäre Meniskusschäden dann vor, wenn dem Meniskusschaden zeitlich eine Knorpelschädigung vorausgeht. Dabei handelt es sich nicht um eine Berufskrankheit, weil die versicherte Tätigkeit keine rechtlich wesentliche Ursache für den Meniskusschaden ist (BSG, Breithaupt 1980, 961).</w:t>
                </w:r>
              </w:p>
            </w:tc>
          </w:tr>
          <w:tr w:rsidR="001E7074" w14:paraId="744CBE3D" w14:textId="77777777" w:rsidTr="00AA5159">
            <w:trPr>
              <w:cantSplit/>
            </w:trPr>
            <w:tc>
              <w:tcPr>
                <w:tcW w:w="680" w:type="dxa"/>
              </w:tcPr>
              <w:p w14:paraId="2A6C9315" w14:textId="77777777" w:rsidR="001E7074" w:rsidRDefault="001E7074" w:rsidP="00030483">
                <w:pPr>
                  <w:tabs>
                    <w:tab w:val="left" w:pos="1260"/>
                  </w:tabs>
                  <w:suppressAutoHyphens/>
                  <w:spacing w:after="240"/>
                  <w:rPr>
                    <w:b/>
                  </w:rPr>
                </w:pPr>
                <w:r>
                  <w:rPr>
                    <w:b/>
                  </w:rPr>
                  <w:t>2</w:t>
                </w:r>
              </w:p>
            </w:tc>
            <w:tc>
              <w:tcPr>
                <w:tcW w:w="9298" w:type="dxa"/>
              </w:tcPr>
              <w:p w14:paraId="225364BF" w14:textId="0BE1F36D" w:rsidR="001E7074" w:rsidRDefault="001E7074" w:rsidP="00030483">
                <w:pPr>
                  <w:pStyle w:val="Kopfzeile"/>
                  <w:tabs>
                    <w:tab w:val="clear" w:pos="4536"/>
                    <w:tab w:val="clear" w:pos="9072"/>
                    <w:tab w:val="left" w:pos="1260"/>
                  </w:tabs>
                  <w:suppressAutoHyphens/>
                  <w:spacing w:after="240"/>
                  <w:rPr>
                    <w:b/>
                  </w:rPr>
                </w:pPr>
                <w:r w:rsidRPr="000A0B8C">
                  <w:rPr>
                    <w:b/>
                  </w:rPr>
                  <w:t>Primäre Gonarthrose/sekundäre Gonarthrose</w:t>
                </w:r>
              </w:p>
            </w:tc>
          </w:tr>
          <w:tr w:rsidR="001E7074" w14:paraId="5CBEC32E" w14:textId="77777777" w:rsidTr="00AA5159">
            <w:trPr>
              <w:cantSplit/>
            </w:trPr>
            <w:tc>
              <w:tcPr>
                <w:tcW w:w="680" w:type="dxa"/>
              </w:tcPr>
              <w:p w14:paraId="3F2B159C" w14:textId="77777777" w:rsidR="001E7074" w:rsidRPr="000A0B8C" w:rsidRDefault="001E7074" w:rsidP="00030483">
                <w:pPr>
                  <w:tabs>
                    <w:tab w:val="left" w:pos="1260"/>
                  </w:tabs>
                  <w:suppressAutoHyphens/>
                  <w:spacing w:after="240"/>
                </w:pPr>
                <w:r w:rsidRPr="000A0B8C">
                  <w:t>2.1</w:t>
                </w:r>
              </w:p>
            </w:tc>
            <w:tc>
              <w:tcPr>
                <w:tcW w:w="9298" w:type="dxa"/>
              </w:tcPr>
              <w:p w14:paraId="72E8C76D" w14:textId="77777777" w:rsidR="001E7074" w:rsidRDefault="001E7074" w:rsidP="00030483">
                <w:pPr>
                  <w:pStyle w:val="Kopfzeile"/>
                  <w:tabs>
                    <w:tab w:val="clear" w:pos="4536"/>
                    <w:tab w:val="clear" w:pos="9072"/>
                    <w:tab w:val="left" w:pos="1260"/>
                  </w:tabs>
                  <w:suppressAutoHyphens/>
                  <w:spacing w:after="240"/>
                </w:pPr>
                <w:r w:rsidRPr="000A0B8C">
                  <w:t>Primäre Gonarthrose</w:t>
                </w:r>
              </w:p>
              <w:p w14:paraId="6737A4EB" w14:textId="77777777" w:rsidR="001E7074" w:rsidRPr="000A0B8C" w:rsidRDefault="001E7074" w:rsidP="00030483">
                <w:pPr>
                  <w:pStyle w:val="Kopfzeile"/>
                  <w:tabs>
                    <w:tab w:val="clear" w:pos="4536"/>
                    <w:tab w:val="clear" w:pos="9072"/>
                    <w:tab w:val="left" w:pos="1260"/>
                  </w:tabs>
                  <w:suppressAutoHyphens/>
                  <w:spacing w:after="240"/>
                </w:pPr>
                <w:r w:rsidRPr="000A0B8C">
                  <w:t>Eine primäre Gonarthrose liegt vor, wenn der Knorpelschaden zeitlich vor dem Meniskusschaden eingetreten ist.</w:t>
                </w:r>
              </w:p>
            </w:tc>
          </w:tr>
          <w:tr w:rsidR="001E7074" w14:paraId="39826D62" w14:textId="77777777" w:rsidTr="00AA5159">
            <w:trPr>
              <w:cantSplit/>
            </w:trPr>
            <w:tc>
              <w:tcPr>
                <w:tcW w:w="680" w:type="dxa"/>
              </w:tcPr>
              <w:p w14:paraId="1D52A690" w14:textId="77777777" w:rsidR="001E7074" w:rsidRPr="000A0B8C" w:rsidRDefault="001E7074" w:rsidP="00030483">
                <w:pPr>
                  <w:tabs>
                    <w:tab w:val="left" w:pos="1260"/>
                  </w:tabs>
                  <w:suppressAutoHyphens/>
                  <w:spacing w:after="240"/>
                </w:pPr>
                <w:r w:rsidRPr="000A0B8C">
                  <w:t>2.2</w:t>
                </w:r>
              </w:p>
            </w:tc>
            <w:tc>
              <w:tcPr>
                <w:tcW w:w="9298" w:type="dxa"/>
              </w:tcPr>
              <w:p w14:paraId="06CC968B" w14:textId="77777777" w:rsidR="001E7074" w:rsidRDefault="001E7074" w:rsidP="00030483">
                <w:pPr>
                  <w:pStyle w:val="Kopfzeile"/>
                  <w:tabs>
                    <w:tab w:val="clear" w:pos="4536"/>
                    <w:tab w:val="clear" w:pos="9072"/>
                    <w:tab w:val="left" w:pos="1260"/>
                  </w:tabs>
                  <w:suppressAutoHyphens/>
                  <w:spacing w:after="240"/>
                </w:pPr>
                <w:r w:rsidRPr="000A0B8C">
                  <w:t>Sekundäre Gonarthrose</w:t>
                </w:r>
              </w:p>
              <w:p w14:paraId="71B7F6C2" w14:textId="77777777" w:rsidR="001E7074" w:rsidRPr="000A0B8C" w:rsidRDefault="001E7074" w:rsidP="00030483">
                <w:pPr>
                  <w:pStyle w:val="Kopfzeile"/>
                  <w:tabs>
                    <w:tab w:val="clear" w:pos="4536"/>
                    <w:tab w:val="clear" w:pos="9072"/>
                    <w:tab w:val="left" w:pos="1260"/>
                  </w:tabs>
                  <w:suppressAutoHyphens/>
                  <w:spacing w:after="240"/>
                </w:pPr>
                <w:r w:rsidRPr="000A0B8C">
                  <w:t>Eine sekundäre Gonarthrose liegt vor, wenn dem Knorpelschaden ein Meniskusschaden vorangegangen ist.</w:t>
                </w:r>
              </w:p>
            </w:tc>
          </w:tr>
          <w:tr w:rsidR="000906D7" w14:paraId="3F2F6594" w14:textId="77777777" w:rsidTr="00AA5159">
            <w:trPr>
              <w:cantSplit/>
            </w:trPr>
            <w:tc>
              <w:tcPr>
                <w:tcW w:w="680" w:type="dxa"/>
              </w:tcPr>
              <w:p w14:paraId="5BAB1AA6" w14:textId="77777777" w:rsidR="000906D7" w:rsidRDefault="000906D7" w:rsidP="00030483">
                <w:pPr>
                  <w:tabs>
                    <w:tab w:val="left" w:pos="1260"/>
                  </w:tabs>
                  <w:suppressAutoHyphens/>
                  <w:spacing w:after="240"/>
                  <w:rPr>
                    <w:b/>
                  </w:rPr>
                </w:pPr>
                <w:r>
                  <w:rPr>
                    <w:b/>
                  </w:rPr>
                  <w:t>3</w:t>
                </w:r>
              </w:p>
            </w:tc>
            <w:tc>
              <w:tcPr>
                <w:tcW w:w="9298" w:type="dxa"/>
              </w:tcPr>
              <w:p w14:paraId="4E2A282C" w14:textId="77777777" w:rsidR="000906D7" w:rsidRDefault="000906D7" w:rsidP="00030483">
                <w:pPr>
                  <w:pStyle w:val="Kopfzeile"/>
                  <w:tabs>
                    <w:tab w:val="clear" w:pos="4536"/>
                    <w:tab w:val="clear" w:pos="9072"/>
                    <w:tab w:val="left" w:pos="1260"/>
                  </w:tabs>
                  <w:suppressAutoHyphens/>
                  <w:spacing w:after="240"/>
                  <w:rPr>
                    <w:b/>
                  </w:rPr>
                </w:pPr>
                <w:r w:rsidRPr="000A0B8C">
                  <w:rPr>
                    <w:b/>
                  </w:rPr>
                  <w:t>Konkurrierende Faktoren</w:t>
                </w:r>
              </w:p>
              <w:p w14:paraId="2B8F9AB9" w14:textId="1E0BF802" w:rsidR="000906D7" w:rsidRPr="00237115" w:rsidRDefault="000906D7" w:rsidP="00030483">
                <w:pPr>
                  <w:pStyle w:val="Kopfzeile"/>
                  <w:tabs>
                    <w:tab w:val="clear" w:pos="4536"/>
                    <w:tab w:val="clear" w:pos="9072"/>
                    <w:tab w:val="left" w:pos="1260"/>
                  </w:tabs>
                  <w:suppressAutoHyphens/>
                  <w:spacing w:after="240"/>
                </w:pPr>
                <w:r w:rsidRPr="000A0B8C">
                  <w:t>Haben mehrere Ursachen zu einem Erfolg (Schaden) beigetragen, spricht man von konkurrierenden Faktoren. Für die spätere Bewertung des Ursachenzusammenhangs ist es notwendig, jede einzelne der in Betracht kommenden Faktoren voll zu beweisen (vgl. Ziffer 4). Die bloße Vermutung, dass einzelne Faktoren im Einzelfall vorliegen könnten, reicht dazu nicht aus. Nur die in Betracht kommenden Faktoren, deren Vorhandensein zweifelsfrei nachgewiesen wurde, dürfen später in die Kausalitätsbewertung einfließen.</w:t>
                </w:r>
              </w:p>
            </w:tc>
          </w:tr>
          <w:tr w:rsidR="001E7074" w14:paraId="029F8FFD" w14:textId="77777777" w:rsidTr="00AA5159">
            <w:trPr>
              <w:cantSplit/>
            </w:trPr>
            <w:tc>
              <w:tcPr>
                <w:tcW w:w="680" w:type="dxa"/>
              </w:tcPr>
              <w:p w14:paraId="1858A55A" w14:textId="77777777" w:rsidR="001E7074" w:rsidRDefault="001E7074" w:rsidP="00030483">
                <w:pPr>
                  <w:tabs>
                    <w:tab w:val="left" w:pos="1260"/>
                  </w:tabs>
                  <w:suppressAutoHyphens/>
                  <w:spacing w:after="240"/>
                  <w:rPr>
                    <w:b/>
                  </w:rPr>
                </w:pPr>
              </w:p>
            </w:tc>
            <w:tc>
              <w:tcPr>
                <w:tcW w:w="9298" w:type="dxa"/>
              </w:tcPr>
              <w:p w14:paraId="1BCC2538" w14:textId="77777777" w:rsidR="001E7074" w:rsidRDefault="001E7074" w:rsidP="00030483">
                <w:pPr>
                  <w:suppressAutoHyphens/>
                </w:pPr>
                <w:r>
                  <w:t>Konkurrierende Faktoren für die BK-Nr. 2112 sind in der Zeitschrift Trauma und Berufskrankheit, 2012, Band 14, Sonderheft 4 (</w:t>
                </w:r>
                <w:hyperlink r:id="rId11" w:history="1">
                  <w:r w:rsidR="00237115">
                    <w:rPr>
                      <w:rStyle w:val="Hyperlink"/>
                      <w:rFonts w:cs="Arial"/>
                    </w:rPr>
                    <w:t>http://www.dguv.de/webcode/m222403</w:t>
                  </w:r>
                </w:hyperlink>
                <w:r>
                  <w:t>) abgebildet.</w:t>
                </w:r>
              </w:p>
              <w:p w14:paraId="01BC9FAD" w14:textId="77777777" w:rsidR="00237115" w:rsidRPr="00237115" w:rsidRDefault="00237115" w:rsidP="00030483">
                <w:pPr>
                  <w:suppressAutoHyphens/>
                  <w:rPr>
                    <w:rFonts w:cs="Arial"/>
                  </w:rPr>
                </w:pPr>
              </w:p>
              <w:p w14:paraId="3C466A84" w14:textId="6014492C" w:rsidR="001E7074" w:rsidRDefault="001E7074" w:rsidP="00030483">
                <w:pPr>
                  <w:pStyle w:val="Kopfzeile"/>
                  <w:tabs>
                    <w:tab w:val="left" w:pos="1260"/>
                  </w:tabs>
                  <w:suppressAutoHyphens/>
                  <w:spacing w:after="240"/>
                </w:pPr>
                <w:r>
                  <w:t>Hinsichtlich der konkurrierenden Faktoren für die BK-Nr. 2102 wird auf das Merkblatt für die ärztliche Untersuchung (</w:t>
                </w:r>
                <w:hyperlink r:id="rId12" w:history="1">
                  <w:r w:rsidR="00030483" w:rsidRPr="00BF3FBB">
                    <w:rPr>
                      <w:rStyle w:val="Hyperlink"/>
                    </w:rPr>
                    <w:t>http://www.baua.de/de/Themen-von-A-Z/Berufskrankheiten/Dokumente/Merkblaetter.html</w:t>
                  </w:r>
                </w:hyperlink>
                <w:r>
                  <w:t>) Bezug genommen. Dort heißt es u. a.:</w:t>
                </w:r>
              </w:p>
              <w:p w14:paraId="74712C69" w14:textId="77777777" w:rsidR="001E7074" w:rsidRDefault="001E7074" w:rsidP="00030483">
                <w:pPr>
                  <w:pStyle w:val="Kopfzeile"/>
                  <w:tabs>
                    <w:tab w:val="left" w:pos="1260"/>
                  </w:tabs>
                  <w:suppressAutoHyphens/>
                  <w:spacing w:after="240"/>
                </w:pPr>
                <w:r>
                  <w:t>„Chronische Meniskusschäden können anlagebedingt in unterschiedlichem Ausmaß auftreten, aber auch z.</w:t>
                </w:r>
                <w:r w:rsidR="002F7F36">
                  <w:t xml:space="preserve"> </w:t>
                </w:r>
                <w:r>
                  <w:t>B. in ursächlichem Zusammenhang mit verschiedenen Sportarten (Fußball, Tennis, Skilaufen und –springen, Slalom).“</w:t>
                </w:r>
              </w:p>
              <w:p w14:paraId="34C19C8D" w14:textId="77777777" w:rsidR="001E7074" w:rsidRPr="000A0B8C" w:rsidRDefault="001E7074" w:rsidP="00030483">
                <w:pPr>
                  <w:pStyle w:val="Kopfzeile"/>
                  <w:tabs>
                    <w:tab w:val="left" w:pos="1260"/>
                  </w:tabs>
                  <w:suppressAutoHyphens/>
                  <w:spacing w:after="240"/>
                </w:pPr>
                <w:r w:rsidRPr="000A0B8C">
                  <w:rPr>
                    <w:b/>
                  </w:rPr>
                  <w:t xml:space="preserve">Wichtig: </w:t>
                </w:r>
                <w:r w:rsidRPr="000A0B8C">
                  <w:t>Die konkurrierenden Faktoren müssen voll bewiesen werden. Eine bloße Wahrscheinlichkeit für das Vorliegen dieser Faktoren genügt nicht.</w:t>
                </w:r>
              </w:p>
            </w:tc>
          </w:tr>
          <w:tr w:rsidR="001E7074" w14:paraId="74D27D67" w14:textId="77777777" w:rsidTr="00AA5159">
            <w:trPr>
              <w:cantSplit/>
            </w:trPr>
            <w:tc>
              <w:tcPr>
                <w:tcW w:w="680" w:type="dxa"/>
              </w:tcPr>
              <w:p w14:paraId="3E638A51" w14:textId="77777777" w:rsidR="001E7074" w:rsidRDefault="001E7074" w:rsidP="00030483">
                <w:pPr>
                  <w:tabs>
                    <w:tab w:val="left" w:pos="1260"/>
                  </w:tabs>
                  <w:suppressAutoHyphens/>
                  <w:spacing w:after="240"/>
                  <w:rPr>
                    <w:b/>
                  </w:rPr>
                </w:pPr>
                <w:r>
                  <w:rPr>
                    <w:b/>
                  </w:rPr>
                  <w:t>4</w:t>
                </w:r>
              </w:p>
            </w:tc>
            <w:tc>
              <w:tcPr>
                <w:tcW w:w="9298" w:type="dxa"/>
              </w:tcPr>
              <w:p w14:paraId="0BBE221E" w14:textId="77777777" w:rsidR="001E7074" w:rsidRDefault="001E7074" w:rsidP="00030483">
                <w:pPr>
                  <w:pStyle w:val="Kopfzeile"/>
                  <w:tabs>
                    <w:tab w:val="clear" w:pos="4536"/>
                    <w:tab w:val="clear" w:pos="9072"/>
                    <w:tab w:val="left" w:pos="1260"/>
                  </w:tabs>
                  <w:suppressAutoHyphens/>
                  <w:spacing w:after="240"/>
                  <w:rPr>
                    <w:b/>
                  </w:rPr>
                </w:pPr>
                <w:r w:rsidRPr="000A0B8C">
                  <w:rPr>
                    <w:b/>
                  </w:rPr>
                  <w:t>Vollbeweis</w:t>
                </w:r>
              </w:p>
              <w:p w14:paraId="182F9777" w14:textId="4D2C693A" w:rsidR="001E7074" w:rsidRPr="000A0B8C" w:rsidRDefault="001E7074" w:rsidP="00030483">
                <w:pPr>
                  <w:pStyle w:val="Kopfzeile"/>
                  <w:tabs>
                    <w:tab w:val="clear" w:pos="4536"/>
                    <w:tab w:val="clear" w:pos="9072"/>
                    <w:tab w:val="left" w:pos="1260"/>
                  </w:tabs>
                  <w:suppressAutoHyphens/>
                  <w:spacing w:after="240"/>
                </w:pPr>
                <w:r w:rsidRPr="000A0B8C">
                  <w:t>Tatsachen wie z.</w:t>
                </w:r>
                <w:r w:rsidR="000906D7">
                  <w:t> </w:t>
                </w:r>
                <w:r w:rsidRPr="000A0B8C">
                  <w:t>B. das Krankheitsbild sind mit Vollbeweis, d.</w:t>
                </w:r>
                <w:r w:rsidR="002F7F36">
                  <w:t xml:space="preserve"> </w:t>
                </w:r>
                <w:r w:rsidRPr="000A0B8C">
                  <w:t>h. mit an Sicherheit grenzender Wahrscheinlichkeit zu belegen. Es darf kein vernünftiger Zweifel darüber bestehen, dass diese Tatsachen vorliegen. Das gleiche gilt für die Tatsachen „versicherte Tätigkeit“, „Verrichtung“ und „schädigende Einwirkung, die von dem Auftraggeber</w:t>
                </w:r>
                <w:r w:rsidR="00F930BA">
                  <w:t>/der Auftraggeberin</w:t>
                </w:r>
                <w:r w:rsidRPr="000A0B8C">
                  <w:t xml:space="preserve"> nachgewiesen werden müssen.</w:t>
                </w:r>
              </w:p>
            </w:tc>
          </w:tr>
          <w:tr w:rsidR="001E7074" w14:paraId="3F1C81ED" w14:textId="77777777" w:rsidTr="00AA5159">
            <w:trPr>
              <w:cantSplit/>
            </w:trPr>
            <w:tc>
              <w:tcPr>
                <w:tcW w:w="680" w:type="dxa"/>
              </w:tcPr>
              <w:p w14:paraId="4A21DC11" w14:textId="77777777" w:rsidR="001E7074" w:rsidRDefault="001E7074" w:rsidP="00030483">
                <w:pPr>
                  <w:tabs>
                    <w:tab w:val="left" w:pos="1260"/>
                  </w:tabs>
                  <w:suppressAutoHyphens/>
                  <w:spacing w:after="240"/>
                  <w:rPr>
                    <w:b/>
                  </w:rPr>
                </w:pPr>
                <w:r>
                  <w:rPr>
                    <w:b/>
                  </w:rPr>
                  <w:t>5</w:t>
                </w:r>
              </w:p>
            </w:tc>
            <w:tc>
              <w:tcPr>
                <w:tcW w:w="9298" w:type="dxa"/>
              </w:tcPr>
              <w:p w14:paraId="10045790" w14:textId="77777777" w:rsidR="001E7074" w:rsidRDefault="001E7074" w:rsidP="00030483">
                <w:pPr>
                  <w:pStyle w:val="Kopfzeile"/>
                  <w:tabs>
                    <w:tab w:val="clear" w:pos="4536"/>
                    <w:tab w:val="clear" w:pos="9072"/>
                    <w:tab w:val="left" w:pos="1260"/>
                  </w:tabs>
                  <w:suppressAutoHyphens/>
                  <w:spacing w:after="240"/>
                  <w:rPr>
                    <w:b/>
                  </w:rPr>
                </w:pPr>
                <w:r w:rsidRPr="000A0B8C">
                  <w:rPr>
                    <w:b/>
                  </w:rPr>
                  <w:t>Hinreichende Wahrscheinlichkeit</w:t>
                </w:r>
              </w:p>
              <w:p w14:paraId="119FEB8F" w14:textId="00929F00" w:rsidR="001E7074" w:rsidRPr="000A0B8C" w:rsidRDefault="001E7074" w:rsidP="00030483">
                <w:pPr>
                  <w:pStyle w:val="Kopfzeile"/>
                  <w:tabs>
                    <w:tab w:val="clear" w:pos="4536"/>
                    <w:tab w:val="clear" w:pos="9072"/>
                    <w:tab w:val="left" w:pos="1260"/>
                  </w:tabs>
                  <w:suppressAutoHyphens/>
                  <w:spacing w:after="240"/>
                </w:pPr>
                <w:r w:rsidRPr="000A0B8C">
                  <w:t>Für die Bejahung des Ursachenzusammenhangs genügt eine hinreichende Wahrscheinlich</w:t>
                </w:r>
                <w:r w:rsidR="00030483">
                  <w:softHyphen/>
                </w:r>
                <w:r w:rsidRPr="000A0B8C">
                  <w:t>keit. Das bedeutet, dass bei Abwägung aller Umstände den für den Zusammenhang sprechenden Umständen ein Übergewicht zukommt. Es muss mehr für als gegen den Ursachenzusammenhang sprechen.</w:t>
                </w:r>
              </w:p>
            </w:tc>
          </w:tr>
          <w:tr w:rsidR="001E7074" w14:paraId="1EF5D611" w14:textId="77777777" w:rsidTr="00AA5159">
            <w:trPr>
              <w:cantSplit/>
            </w:trPr>
            <w:tc>
              <w:tcPr>
                <w:tcW w:w="680" w:type="dxa"/>
              </w:tcPr>
              <w:p w14:paraId="43B124AF" w14:textId="77777777" w:rsidR="001E7074" w:rsidRDefault="001E7074" w:rsidP="00030483">
                <w:pPr>
                  <w:tabs>
                    <w:tab w:val="left" w:pos="1260"/>
                  </w:tabs>
                  <w:suppressAutoHyphens/>
                  <w:spacing w:after="240"/>
                  <w:rPr>
                    <w:b/>
                  </w:rPr>
                </w:pPr>
                <w:r>
                  <w:rPr>
                    <w:b/>
                  </w:rPr>
                  <w:t>6</w:t>
                </w:r>
              </w:p>
            </w:tc>
            <w:tc>
              <w:tcPr>
                <w:tcW w:w="9298" w:type="dxa"/>
              </w:tcPr>
              <w:p w14:paraId="7DD92144" w14:textId="77777777" w:rsidR="001E7074" w:rsidRDefault="001E7074" w:rsidP="00030483">
                <w:pPr>
                  <w:pStyle w:val="Kopfzeile"/>
                  <w:tabs>
                    <w:tab w:val="clear" w:pos="4536"/>
                    <w:tab w:val="clear" w:pos="9072"/>
                    <w:tab w:val="left" w:pos="1260"/>
                  </w:tabs>
                  <w:suppressAutoHyphens/>
                  <w:spacing w:after="240"/>
                  <w:rPr>
                    <w:b/>
                  </w:rPr>
                </w:pPr>
                <w:r>
                  <w:rPr>
                    <w:b/>
                  </w:rPr>
                  <w:t>Verschlimmerung</w:t>
                </w:r>
              </w:p>
              <w:p w14:paraId="0DDE29CA" w14:textId="0EDDF1B2" w:rsidR="001E7074" w:rsidRPr="000A0B8C" w:rsidRDefault="001E7074" w:rsidP="00030483">
                <w:pPr>
                  <w:pStyle w:val="Kopfzeile"/>
                  <w:tabs>
                    <w:tab w:val="clear" w:pos="4536"/>
                    <w:tab w:val="clear" w:pos="9072"/>
                    <w:tab w:val="left" w:pos="1260"/>
                  </w:tabs>
                  <w:suppressAutoHyphens/>
                  <w:spacing w:after="240"/>
                </w:pPr>
                <w:r w:rsidRPr="000A0B8C">
                  <w:t>Eine nicht arbeitsbedingte Erkrankung wird durch eine arbeitsbedingte Einwirkung wesentlich verschlimmert und erfüllt dadurch den Tatbestand einer Berufskrankheit aus der Berufs</w:t>
                </w:r>
                <w:r w:rsidR="00030483">
                  <w:softHyphen/>
                </w:r>
                <w:r w:rsidRPr="000A0B8C">
                  <w:t>krankheiten-Liste. Die folgenden Definitionen wurden aus dem Kommentar zur Berufs</w:t>
                </w:r>
                <w:r w:rsidR="00030483">
                  <w:softHyphen/>
                </w:r>
                <w:r w:rsidRPr="000A0B8C">
                  <w:t>krankheitenverordnung (BKV), Mehrtens/Brandenburg § 9 SGB VII Rn.</w:t>
                </w:r>
                <w:r>
                  <w:t xml:space="preserve"> </w:t>
                </w:r>
                <w:r w:rsidRPr="000A0B8C">
                  <w:t>24.1</w:t>
                </w:r>
                <w:r>
                  <w:t>,</w:t>
                </w:r>
                <w:r w:rsidRPr="000A0B8C">
                  <w:t xml:space="preserve"> entnommen</w:t>
                </w:r>
                <w:r>
                  <w:t>:</w:t>
                </w:r>
              </w:p>
            </w:tc>
          </w:tr>
          <w:tr w:rsidR="001E7074" w14:paraId="5BA1DBCF" w14:textId="77777777" w:rsidTr="00AA5159">
            <w:trPr>
              <w:cantSplit/>
            </w:trPr>
            <w:tc>
              <w:tcPr>
                <w:tcW w:w="680" w:type="dxa"/>
              </w:tcPr>
              <w:p w14:paraId="5822200B" w14:textId="77777777" w:rsidR="001E7074" w:rsidRPr="009863F6" w:rsidRDefault="001E7074" w:rsidP="00030483">
                <w:pPr>
                  <w:tabs>
                    <w:tab w:val="left" w:pos="1260"/>
                  </w:tabs>
                  <w:suppressAutoHyphens/>
                  <w:spacing w:after="240"/>
                </w:pPr>
                <w:r w:rsidRPr="009863F6">
                  <w:t>6.1</w:t>
                </w:r>
              </w:p>
            </w:tc>
            <w:tc>
              <w:tcPr>
                <w:tcW w:w="9298" w:type="dxa"/>
              </w:tcPr>
              <w:p w14:paraId="303425FB" w14:textId="77777777" w:rsidR="001E7074" w:rsidRPr="009863F6" w:rsidRDefault="001E7074" w:rsidP="00030483">
                <w:pPr>
                  <w:pStyle w:val="Kopfzeile"/>
                  <w:tabs>
                    <w:tab w:val="clear" w:pos="4536"/>
                    <w:tab w:val="clear" w:pos="9072"/>
                    <w:tab w:val="left" w:pos="1260"/>
                  </w:tabs>
                  <w:suppressAutoHyphens/>
                  <w:spacing w:after="240"/>
                </w:pPr>
                <w:r w:rsidRPr="009863F6">
                  <w:t>Abgrenzung nach der zeitlichen Wirkung</w:t>
                </w:r>
              </w:p>
            </w:tc>
          </w:tr>
          <w:tr w:rsidR="00AA5159" w14:paraId="6F39C430" w14:textId="77777777" w:rsidTr="00AA5159">
            <w:trPr>
              <w:cantSplit/>
            </w:trPr>
            <w:tc>
              <w:tcPr>
                <w:tcW w:w="680" w:type="dxa"/>
              </w:tcPr>
              <w:p w14:paraId="6B7A74EE" w14:textId="77777777" w:rsidR="00AA5159" w:rsidRPr="009863F6" w:rsidRDefault="00AA5159" w:rsidP="00030483">
                <w:pPr>
                  <w:tabs>
                    <w:tab w:val="left" w:pos="1260"/>
                  </w:tabs>
                  <w:suppressAutoHyphens/>
                  <w:spacing w:after="240"/>
                </w:pPr>
                <w:r>
                  <w:t>6.1.1</w:t>
                </w:r>
              </w:p>
            </w:tc>
            <w:tc>
              <w:tcPr>
                <w:tcW w:w="9298" w:type="dxa"/>
              </w:tcPr>
              <w:p w14:paraId="53E4BB68" w14:textId="77777777" w:rsidR="00AA5159" w:rsidRDefault="00AA5159" w:rsidP="00030483">
                <w:pPr>
                  <w:pStyle w:val="Kopfzeile"/>
                  <w:tabs>
                    <w:tab w:val="clear" w:pos="4536"/>
                    <w:tab w:val="clear" w:pos="9072"/>
                    <w:tab w:val="left" w:pos="1260"/>
                  </w:tabs>
                  <w:suppressAutoHyphens/>
                  <w:spacing w:after="240"/>
                </w:pPr>
                <w:r w:rsidRPr="009863F6">
                  <w:t>Vorübergehende Verschlimmerung</w:t>
                </w:r>
              </w:p>
              <w:p w14:paraId="08F662D2" w14:textId="77777777" w:rsidR="00AA5159" w:rsidRPr="009863F6" w:rsidRDefault="00AA5159" w:rsidP="00030483">
                <w:pPr>
                  <w:pStyle w:val="Kopfzeile"/>
                  <w:tabs>
                    <w:tab w:val="clear" w:pos="4536"/>
                    <w:tab w:val="clear" w:pos="9072"/>
                    <w:tab w:val="left" w:pos="1260"/>
                  </w:tabs>
                  <w:suppressAutoHyphens/>
                  <w:spacing w:after="240"/>
                </w:pPr>
                <w:r w:rsidRPr="009863F6">
                  <w:t>Nach Ablauf einer im Einzelfall zu bestimmenden Zeit klingt die Berufskrankheit so weit ab, dass der Zustand vorliegt, welcher der schicksalsmäßigen Weiterentwicklung des Anlageleidens entspricht.</w:t>
                </w:r>
              </w:p>
            </w:tc>
          </w:tr>
          <w:tr w:rsidR="00AA5159" w14:paraId="0AA55EDC" w14:textId="77777777" w:rsidTr="00AA5159">
            <w:trPr>
              <w:cantSplit/>
            </w:trPr>
            <w:tc>
              <w:tcPr>
                <w:tcW w:w="680" w:type="dxa"/>
              </w:tcPr>
              <w:p w14:paraId="16286498" w14:textId="77777777" w:rsidR="00AA5159" w:rsidRDefault="00AA5159" w:rsidP="00030483">
                <w:pPr>
                  <w:tabs>
                    <w:tab w:val="left" w:pos="1260"/>
                  </w:tabs>
                  <w:suppressAutoHyphens/>
                  <w:spacing w:after="240"/>
                </w:pPr>
                <w:r>
                  <w:t>6.1.2</w:t>
                </w:r>
              </w:p>
            </w:tc>
            <w:tc>
              <w:tcPr>
                <w:tcW w:w="9298" w:type="dxa"/>
              </w:tcPr>
              <w:p w14:paraId="26A7D823" w14:textId="77777777" w:rsidR="00AA5159" w:rsidRDefault="00AA5159" w:rsidP="00030483">
                <w:pPr>
                  <w:pStyle w:val="Kopfzeile"/>
                  <w:tabs>
                    <w:tab w:val="clear" w:pos="4536"/>
                    <w:tab w:val="clear" w:pos="9072"/>
                    <w:tab w:val="left" w:pos="1260"/>
                  </w:tabs>
                  <w:suppressAutoHyphens/>
                  <w:spacing w:after="240"/>
                </w:pPr>
                <w:r w:rsidRPr="009863F6">
                  <w:t>Dauernde Verschlimmerung</w:t>
                </w:r>
              </w:p>
              <w:p w14:paraId="101B840B" w14:textId="77777777" w:rsidR="00AA5159" w:rsidRPr="009863F6" w:rsidRDefault="00AA5159" w:rsidP="00030483">
                <w:pPr>
                  <w:pStyle w:val="Kopfzeile"/>
                  <w:tabs>
                    <w:tab w:val="clear" w:pos="4536"/>
                    <w:tab w:val="clear" w:pos="9072"/>
                    <w:tab w:val="left" w:pos="1260"/>
                  </w:tabs>
                  <w:suppressAutoHyphens/>
                  <w:spacing w:after="240"/>
                </w:pPr>
                <w:r>
                  <w:t>Die v</w:t>
                </w:r>
                <w:r w:rsidRPr="009863F6">
                  <w:t>erschlimmernde Wirkung bleibt bestehen.</w:t>
                </w:r>
              </w:p>
            </w:tc>
          </w:tr>
          <w:tr w:rsidR="001E7074" w14:paraId="33D1F602" w14:textId="77777777" w:rsidTr="00AA5159">
            <w:trPr>
              <w:cantSplit/>
            </w:trPr>
            <w:tc>
              <w:tcPr>
                <w:tcW w:w="680" w:type="dxa"/>
              </w:tcPr>
              <w:p w14:paraId="0534CEA1" w14:textId="77777777" w:rsidR="001E7074" w:rsidRPr="009863F6" w:rsidRDefault="001E7074" w:rsidP="00030483">
                <w:pPr>
                  <w:tabs>
                    <w:tab w:val="left" w:pos="1260"/>
                  </w:tabs>
                  <w:suppressAutoHyphens/>
                  <w:spacing w:after="240"/>
                </w:pPr>
                <w:r>
                  <w:t>6.2</w:t>
                </w:r>
              </w:p>
            </w:tc>
            <w:tc>
              <w:tcPr>
                <w:tcW w:w="9298" w:type="dxa"/>
              </w:tcPr>
              <w:p w14:paraId="55E7AC83" w14:textId="77777777" w:rsidR="001E7074" w:rsidRPr="009863F6" w:rsidRDefault="001E7074" w:rsidP="00030483">
                <w:pPr>
                  <w:pStyle w:val="Kopfzeile"/>
                  <w:tabs>
                    <w:tab w:val="clear" w:pos="4536"/>
                    <w:tab w:val="clear" w:pos="9072"/>
                    <w:tab w:val="left" w:pos="1260"/>
                  </w:tabs>
                  <w:suppressAutoHyphens/>
                  <w:spacing w:after="240"/>
                </w:pPr>
                <w:r w:rsidRPr="009863F6">
                  <w:t>Abgrenzung nach dem Schweregrad</w:t>
                </w:r>
              </w:p>
            </w:tc>
          </w:tr>
          <w:tr w:rsidR="00AA5159" w14:paraId="601C957D" w14:textId="77777777" w:rsidTr="00AA5159">
            <w:trPr>
              <w:cantSplit/>
            </w:trPr>
            <w:tc>
              <w:tcPr>
                <w:tcW w:w="680" w:type="dxa"/>
              </w:tcPr>
              <w:p w14:paraId="18D76B18" w14:textId="77777777" w:rsidR="00AA5159" w:rsidRDefault="00AA5159" w:rsidP="00030483">
                <w:pPr>
                  <w:tabs>
                    <w:tab w:val="left" w:pos="1260"/>
                  </w:tabs>
                  <w:suppressAutoHyphens/>
                  <w:spacing w:after="240"/>
                </w:pPr>
                <w:r>
                  <w:t>6.2.1</w:t>
                </w:r>
              </w:p>
            </w:tc>
            <w:tc>
              <w:tcPr>
                <w:tcW w:w="9298" w:type="dxa"/>
              </w:tcPr>
              <w:p w14:paraId="1B342C52" w14:textId="77777777" w:rsidR="00AA5159" w:rsidRDefault="00AA5159" w:rsidP="00030483">
                <w:pPr>
                  <w:pStyle w:val="Kopfzeile"/>
                  <w:tabs>
                    <w:tab w:val="clear" w:pos="4536"/>
                    <w:tab w:val="clear" w:pos="9072"/>
                    <w:tab w:val="left" w:pos="1260"/>
                  </w:tabs>
                  <w:suppressAutoHyphens/>
                  <w:spacing w:after="240"/>
                </w:pPr>
                <w:r w:rsidRPr="009863F6">
                  <w:t>Abgrenzbare Verschlimmerung</w:t>
                </w:r>
              </w:p>
              <w:p w14:paraId="3B950CE6" w14:textId="77777777" w:rsidR="00AA5159" w:rsidRPr="009863F6" w:rsidRDefault="00AA5159" w:rsidP="00030483">
                <w:pPr>
                  <w:pStyle w:val="Kopfzeile"/>
                  <w:tabs>
                    <w:tab w:val="clear" w:pos="4536"/>
                    <w:tab w:val="clear" w:pos="9072"/>
                    <w:tab w:val="left" w:pos="1260"/>
                  </w:tabs>
                  <w:suppressAutoHyphens/>
                  <w:spacing w:after="240"/>
                </w:pPr>
                <w:r w:rsidRPr="009863F6">
                  <w:t>Der Verschlimmerungsanteil ist in seiner Höhe überschaubar. Die Krankheit wird in ein schweres Stadium angehoben. Der weitere Verlauf bleibt unbeeinflusst von der schädigenden Einwirkung, schließt aber den verstärkten Krankheitswert mit ein.</w:t>
                </w:r>
              </w:p>
            </w:tc>
          </w:tr>
          <w:tr w:rsidR="00AA5159" w14:paraId="36352272" w14:textId="77777777" w:rsidTr="00AA5159">
            <w:trPr>
              <w:cantSplit/>
            </w:trPr>
            <w:tc>
              <w:tcPr>
                <w:tcW w:w="680" w:type="dxa"/>
              </w:tcPr>
              <w:p w14:paraId="439FD69E" w14:textId="77777777" w:rsidR="00AA5159" w:rsidRDefault="00AA5159" w:rsidP="00030483">
                <w:pPr>
                  <w:tabs>
                    <w:tab w:val="left" w:pos="1260"/>
                  </w:tabs>
                  <w:suppressAutoHyphens/>
                  <w:spacing w:after="240"/>
                </w:pPr>
                <w:r>
                  <w:lastRenderedPageBreak/>
                  <w:t>6.2.2</w:t>
                </w:r>
              </w:p>
            </w:tc>
            <w:tc>
              <w:tcPr>
                <w:tcW w:w="9298" w:type="dxa"/>
              </w:tcPr>
              <w:p w14:paraId="65F94F0D" w14:textId="77777777" w:rsidR="00AA5159" w:rsidRDefault="00AA5159" w:rsidP="00030483">
                <w:pPr>
                  <w:pStyle w:val="Kopfzeile"/>
                  <w:tabs>
                    <w:tab w:val="clear" w:pos="4536"/>
                    <w:tab w:val="clear" w:pos="9072"/>
                    <w:tab w:val="left" w:pos="1260"/>
                  </w:tabs>
                  <w:suppressAutoHyphens/>
                  <w:spacing w:after="240"/>
                </w:pPr>
                <w:r w:rsidRPr="009863F6">
                  <w:t>Richtunggebende Verschlimmerung</w:t>
                </w:r>
              </w:p>
              <w:p w14:paraId="285A95E4" w14:textId="77777777" w:rsidR="00AA5159" w:rsidRPr="009863F6" w:rsidRDefault="00AA5159" w:rsidP="00030483">
                <w:pPr>
                  <w:pStyle w:val="Kopfzeile"/>
                  <w:tabs>
                    <w:tab w:val="clear" w:pos="4536"/>
                    <w:tab w:val="clear" w:pos="9072"/>
                    <w:tab w:val="left" w:pos="1260"/>
                  </w:tabs>
                  <w:suppressAutoHyphens/>
                  <w:spacing w:after="240"/>
                </w:pPr>
                <w:r w:rsidRPr="009863F6">
                  <w:t>Der ganze Ablauf des Leidens wird nachhaltig beschleunigt und gefördert und nimmt einen anderen, schwereren Verlauf. Eine richtunggebende Verschlimmerung liegt auch dann vor, wenn sich ein Verschlimmerungsanteil nicht gesondert feststellen lässt, sondern die gesamte Entwicklung des Leidens durch die berufsbedingte Einwirkung ungünstig beeinflusst wird. Der Gesamtzustand ist zu entschädigen, wenn er wesentlich mit auf der tätigkeitsbezogenen Einwirkung beruht</w:t>
                </w:r>
                <w:r>
                  <w:t>.</w:t>
                </w:r>
              </w:p>
            </w:tc>
          </w:tr>
          <w:tr w:rsidR="001E7074" w14:paraId="39BBAF70" w14:textId="77777777" w:rsidTr="00AA5159">
            <w:trPr>
              <w:cantSplit/>
            </w:trPr>
            <w:tc>
              <w:tcPr>
                <w:tcW w:w="680" w:type="dxa"/>
              </w:tcPr>
              <w:p w14:paraId="2F77485B" w14:textId="77777777" w:rsidR="001E7074" w:rsidRPr="009863F6" w:rsidRDefault="001E7074" w:rsidP="00030483">
                <w:pPr>
                  <w:tabs>
                    <w:tab w:val="left" w:pos="1260"/>
                  </w:tabs>
                  <w:suppressAutoHyphens/>
                  <w:spacing w:after="240"/>
                  <w:rPr>
                    <w:b/>
                  </w:rPr>
                </w:pPr>
                <w:r w:rsidRPr="009863F6">
                  <w:rPr>
                    <w:b/>
                  </w:rPr>
                  <w:t>7</w:t>
                </w:r>
              </w:p>
            </w:tc>
            <w:tc>
              <w:tcPr>
                <w:tcW w:w="9298" w:type="dxa"/>
              </w:tcPr>
              <w:p w14:paraId="0E1F95D7" w14:textId="77777777" w:rsidR="001E7074" w:rsidRDefault="001E7074" w:rsidP="00030483">
                <w:pPr>
                  <w:pStyle w:val="Kopfzeile"/>
                  <w:tabs>
                    <w:tab w:val="clear" w:pos="4536"/>
                    <w:tab w:val="clear" w:pos="9072"/>
                    <w:tab w:val="left" w:pos="1260"/>
                  </w:tabs>
                  <w:suppressAutoHyphens/>
                  <w:spacing w:after="240"/>
                  <w:rPr>
                    <w:b/>
                  </w:rPr>
                </w:pPr>
                <w:r w:rsidRPr="009863F6">
                  <w:rPr>
                    <w:b/>
                  </w:rPr>
                  <w:t>Minderung der Erwerbsfähigkeit</w:t>
                </w:r>
              </w:p>
              <w:p w14:paraId="6CC41738" w14:textId="5389F56E" w:rsidR="001E7074" w:rsidRPr="009863F6" w:rsidRDefault="001E7074" w:rsidP="00030483">
                <w:pPr>
                  <w:pStyle w:val="Kopfzeile"/>
                  <w:tabs>
                    <w:tab w:val="clear" w:pos="4536"/>
                    <w:tab w:val="clear" w:pos="9072"/>
                    <w:tab w:val="left" w:pos="1260"/>
                  </w:tabs>
                  <w:suppressAutoHyphens/>
                  <w:spacing w:after="240"/>
                </w:pPr>
                <w:r w:rsidRPr="009863F6">
                  <w:t>Die Minderung der Erwerbsfähigkeit (MdE)</w:t>
                </w:r>
                <w:r>
                  <w:t xml:space="preserve"> </w:t>
                </w:r>
                <w:r w:rsidRPr="009863F6">
                  <w:t>ist ein Rechtsbegriff der gesetzlichen Unfall</w:t>
                </w:r>
                <w:r w:rsidR="00030483">
                  <w:softHyphen/>
                </w:r>
                <w:r w:rsidRPr="009863F6">
                  <w:t xml:space="preserve">versicherung. Eine Rente kann nur geleistet werden, wenn die Erwerbsfähigkeit </w:t>
                </w:r>
                <w:r w:rsidR="00030483">
                  <w:t>der</w:t>
                </w:r>
                <w:r w:rsidRPr="009863F6">
                  <w:t xml:space="preserve"> </w:t>
                </w:r>
                <w:r w:rsidR="00030483">
                  <w:t>v</w:t>
                </w:r>
                <w:r w:rsidRPr="009863F6">
                  <w:t xml:space="preserve">ersicherten </w:t>
                </w:r>
                <w:r w:rsidR="00030483">
                  <w:t xml:space="preserve">Person </w:t>
                </w:r>
                <w:r w:rsidRPr="009863F6">
                  <w:t>über die 26. Woche nach dem Versicherungsfall hinaus um wenigstens 20 % oder infolge mehrerer Arbeitsunfälle/Berufskrankheiten oder anderer im Gesetz aufgeführter Entschädigungsfälle jeweils um mindestens 10 % gemindert ist und die Summe der durch die einzelnen Unfälle/Berufskrankheiten verursachten MdE wenigstens 20 % beträgt (§ 56 Abs. 1 SGB VII).Bei der MdE-Bewertung sind die üblichen MdE-Erfahrungssätze der orthopädisch-unfallchirurgischen Begutachtung anzuwenden.</w:t>
                </w:r>
              </w:p>
            </w:tc>
          </w:tr>
          <w:tr w:rsidR="001E7074" w14:paraId="131DE368" w14:textId="77777777" w:rsidTr="00AA5159">
            <w:trPr>
              <w:cantSplit/>
            </w:trPr>
            <w:tc>
              <w:tcPr>
                <w:tcW w:w="680" w:type="dxa"/>
              </w:tcPr>
              <w:p w14:paraId="70462B55" w14:textId="77777777" w:rsidR="001E7074" w:rsidRPr="009863F6" w:rsidRDefault="001E7074" w:rsidP="00030483">
                <w:pPr>
                  <w:tabs>
                    <w:tab w:val="left" w:pos="1260"/>
                  </w:tabs>
                  <w:suppressAutoHyphens/>
                  <w:spacing w:after="240"/>
                  <w:rPr>
                    <w:b/>
                  </w:rPr>
                </w:pPr>
                <w:r>
                  <w:rPr>
                    <w:b/>
                  </w:rPr>
                  <w:t>8</w:t>
                </w:r>
              </w:p>
            </w:tc>
            <w:tc>
              <w:tcPr>
                <w:tcW w:w="9298" w:type="dxa"/>
              </w:tcPr>
              <w:p w14:paraId="4EF95F4D" w14:textId="77777777" w:rsidR="001E7074" w:rsidRDefault="001E7074" w:rsidP="00030483">
                <w:pPr>
                  <w:pStyle w:val="Kopfzeile"/>
                  <w:tabs>
                    <w:tab w:val="clear" w:pos="4536"/>
                    <w:tab w:val="clear" w:pos="9072"/>
                    <w:tab w:val="left" w:pos="1260"/>
                  </w:tabs>
                  <w:suppressAutoHyphens/>
                  <w:spacing w:after="240"/>
                  <w:rPr>
                    <w:b/>
                  </w:rPr>
                </w:pPr>
                <w:r w:rsidRPr="009863F6">
                  <w:rPr>
                    <w:b/>
                  </w:rPr>
                  <w:t>Konkrete Gefahr</w:t>
                </w:r>
              </w:p>
              <w:p w14:paraId="4FC9FDE4" w14:textId="5E77047C" w:rsidR="001E7074" w:rsidRPr="009863F6" w:rsidRDefault="001E7074" w:rsidP="00030483">
                <w:pPr>
                  <w:pStyle w:val="Kopfzeile"/>
                  <w:tabs>
                    <w:tab w:val="clear" w:pos="4536"/>
                    <w:tab w:val="clear" w:pos="9072"/>
                    <w:tab w:val="left" w:pos="1260"/>
                  </w:tabs>
                  <w:suppressAutoHyphens/>
                  <w:spacing w:after="240"/>
                </w:pPr>
                <w:r w:rsidRPr="009863F6">
                  <w:t>Präventive Maßnahmen i</w:t>
                </w:r>
                <w:r>
                  <w:t xml:space="preserve">. </w:t>
                </w:r>
                <w:r w:rsidRPr="009863F6">
                  <w:t>S</w:t>
                </w:r>
                <w:r>
                  <w:t xml:space="preserve">. </w:t>
                </w:r>
                <w:r w:rsidRPr="009863F6">
                  <w:t>d. § 3 BKV setzen das Vorliegen einer konkreten individuellen Gefahr voraus.</w:t>
                </w:r>
                <w:r>
                  <w:t xml:space="preserve"> </w:t>
                </w:r>
                <w:r w:rsidRPr="009863F6">
                  <w:t xml:space="preserve">Eine konkret individuelle Gefahr liegt vor, wenn das Risiko einer Schädigung für </w:t>
                </w:r>
                <w:r w:rsidR="00030483">
                  <w:t>die</w:t>
                </w:r>
                <w:r w:rsidRPr="009863F6">
                  <w:t xml:space="preserve"> </w:t>
                </w:r>
                <w:r w:rsidR="00030483">
                  <w:t>v</w:t>
                </w:r>
                <w:r w:rsidRPr="009863F6">
                  <w:t>ersicherte</w:t>
                </w:r>
                <w:r w:rsidR="00030483">
                  <w:t xml:space="preserve"> Person</w:t>
                </w:r>
                <w:r w:rsidRPr="009863F6">
                  <w:t xml:space="preserve"> über den Grad hinausgeht, der bei anderen </w:t>
                </w:r>
                <w:r w:rsidR="00030483">
                  <w:t>v</w:t>
                </w:r>
                <w:r w:rsidRPr="009863F6">
                  <w:t xml:space="preserve">ersicherten </w:t>
                </w:r>
                <w:r w:rsidR="00030483">
                  <w:t xml:space="preserve">Personen </w:t>
                </w:r>
                <w:r w:rsidRPr="009863F6">
                  <w:t>bei einer vergleichbaren Beschäftigung besteht (BSG Urteil v. 05.08.1993, 2 RU 46/92)</w:t>
                </w:r>
                <w:r>
                  <w:t>.</w:t>
                </w:r>
              </w:p>
            </w:tc>
          </w:tr>
        </w:tbl>
        <w:p w14:paraId="7CA9BC82" w14:textId="7AD2CC48" w:rsidR="00E225AD" w:rsidRDefault="00000000" w:rsidP="00030483">
          <w:pPr>
            <w:pStyle w:val="Textkrper"/>
            <w:suppressAutoHyphens/>
            <w:spacing w:after="240"/>
          </w:pPr>
        </w:p>
      </w:sdtContent>
    </w:sdt>
    <w:sectPr w:rsidR="00E225AD">
      <w:headerReference w:type="default" r:id="rId13"/>
      <w:footerReference w:type="default" r:id="rId14"/>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1C34" w14:textId="77777777" w:rsidR="0039521E" w:rsidRDefault="0039521E">
      <w:r>
        <w:separator/>
      </w:r>
    </w:p>
  </w:endnote>
  <w:endnote w:type="continuationSeparator" w:id="0">
    <w:p w14:paraId="342F8AF4" w14:textId="77777777" w:rsidR="0039521E" w:rsidRDefault="003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14:paraId="02373886" w14:textId="77777777">
      <w:tc>
        <w:tcPr>
          <w:tcW w:w="9412" w:type="dxa"/>
        </w:tcPr>
        <w:p w14:paraId="49208438" w14:textId="77777777" w:rsidR="00E27B91" w:rsidRDefault="00000000">
          <w:pPr>
            <w:pStyle w:val="Fuzeile"/>
            <w:tabs>
              <w:tab w:val="clear" w:pos="4536"/>
              <w:tab w:val="clear" w:pos="9072"/>
              <w:tab w:val="right" w:pos="9781"/>
            </w:tabs>
            <w:spacing w:before="80"/>
          </w:pPr>
          <w:fldSimple w:instr=" DOCPROPERTY &quot;Formtext&quot; \* MERGEFORMAT ">
            <w:r w:rsidR="002F7F36">
              <w:t>A 6206-2102/2112</w:t>
            </w:r>
          </w:fldSimple>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2F7F36">
            <w:rPr>
              <w:sz w:val="14"/>
            </w:rPr>
            <w:t>0417</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"Comments"  \* MERGEFORMAT </w:instrText>
          </w:r>
          <w:r w:rsidR="00E27B91">
            <w:rPr>
              <w:sz w:val="14"/>
            </w:rPr>
            <w:fldChar w:fldCharType="separate"/>
          </w:r>
          <w:r w:rsidR="002F7F36">
            <w:rPr>
              <w:b/>
              <w:bCs/>
              <w:sz w:val="14"/>
            </w:rPr>
            <w:t>Fehler! Unbekannter Name für Dokument-Eigenschaft.</w:t>
          </w:r>
          <w:r w:rsidR="00E27B91">
            <w:rPr>
              <w:sz w:val="14"/>
            </w:rPr>
            <w:fldChar w:fldCharType="end"/>
          </w:r>
          <w:r w:rsidR="00E27B91">
            <w:rPr>
              <w:sz w:val="14"/>
            </w:rPr>
            <w:fldChar w:fldCharType="begin"/>
          </w:r>
          <w:r w:rsidR="00E27B91">
            <w:rPr>
              <w:sz w:val="14"/>
            </w:rPr>
            <w:instrText xml:space="preserve"> DOCPROPERTY "Comments"  \* MERGEFORMAT </w:instrText>
          </w:r>
          <w:r w:rsidR="00E27B91">
            <w:rPr>
              <w:sz w:val="14"/>
            </w:rPr>
            <w:fldChar w:fldCharType="separate"/>
          </w:r>
          <w:r w:rsidR="002F7F36">
            <w:rPr>
              <w:b/>
              <w:bCs/>
              <w:sz w:val="14"/>
            </w:rPr>
            <w:t>Fehler! Unbekannter Name für Dokument-Eigenschaft.</w:t>
          </w:r>
          <w:r w:rsidR="00E27B91">
            <w:rPr>
              <w:sz w:val="14"/>
            </w:rPr>
            <w:fldChar w:fldCharType="end"/>
          </w:r>
        </w:p>
      </w:tc>
      <w:tc>
        <w:tcPr>
          <w:tcW w:w="567" w:type="dxa"/>
        </w:tcPr>
        <w:p w14:paraId="7F7D3A6C" w14:textId="77777777"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2F7F36">
            <w:rPr>
              <w:noProof/>
            </w:rPr>
            <w:instrText>3</w:instrText>
          </w:r>
          <w:r>
            <w:fldChar w:fldCharType="end"/>
          </w:r>
          <w:r>
            <w:instrText xml:space="preserve"> - </w:instrText>
          </w:r>
          <w:r>
            <w:fldChar w:fldCharType="begin"/>
          </w:r>
          <w:r>
            <w:instrText>PAGE</w:instrText>
          </w:r>
          <w:r>
            <w:fldChar w:fldCharType="separate"/>
          </w:r>
          <w:r w:rsidR="002F7F36">
            <w:rPr>
              <w:noProof/>
            </w:rPr>
            <w:instrText>3</w:instrText>
          </w:r>
          <w:r>
            <w:fldChar w:fldCharType="end"/>
          </w:r>
          <w:r>
            <w:instrText xml:space="preserve"> </w:instrText>
          </w:r>
          <w:r>
            <w:fldChar w:fldCharType="separate"/>
          </w:r>
          <w:r w:rsidR="002F7F36">
            <w:rPr>
              <w:noProof/>
            </w:rPr>
            <w:instrText>0</w:instrText>
          </w:r>
          <w:r>
            <w:fldChar w:fldCharType="end"/>
          </w:r>
          <w:r>
            <w:instrText xml:space="preserve"> &gt; 0 "..."</w:instrText>
          </w:r>
          <w:r>
            <w:fldChar w:fldCharType="end"/>
          </w:r>
        </w:p>
      </w:tc>
    </w:tr>
  </w:tbl>
  <w:p w14:paraId="1B8026C0" w14:textId="77777777" w:rsidR="00E27B91" w:rsidRDefault="00E27B91">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14:paraId="7F99AC41" w14:textId="77777777">
      <w:tc>
        <w:tcPr>
          <w:tcW w:w="9412" w:type="dxa"/>
        </w:tcPr>
        <w:p w14:paraId="3337D1AA" w14:textId="78C75171" w:rsidR="00E27B91" w:rsidRDefault="00000000">
          <w:pPr>
            <w:pStyle w:val="Fuzeile"/>
            <w:tabs>
              <w:tab w:val="clear" w:pos="4536"/>
              <w:tab w:val="clear" w:pos="9072"/>
              <w:tab w:val="right" w:pos="9781"/>
            </w:tabs>
            <w:spacing w:before="80"/>
          </w:pPr>
          <w:r w:rsidRPr="0028142B">
            <w:rPr>
              <w:sz w:val="20"/>
            </w:rPr>
            <w:fldChar w:fldCharType="begin"/>
          </w:r>
          <w:r w:rsidRPr="0028142B">
            <w:rPr>
              <w:sz w:val="20"/>
            </w:rPr>
            <w:instrText xml:space="preserve"> DOCPROPERTY "Formtext" \* MERGEFORMAT </w:instrText>
          </w:r>
          <w:r w:rsidRPr="0028142B">
            <w:rPr>
              <w:sz w:val="20"/>
            </w:rPr>
            <w:fldChar w:fldCharType="separate"/>
          </w:r>
          <w:r w:rsidR="00966D3B" w:rsidRPr="0028142B">
            <w:rPr>
              <w:sz w:val="20"/>
            </w:rPr>
            <w:t>A 6206-2102/2112</w:t>
          </w:r>
          <w:r w:rsidRPr="0028142B">
            <w:rPr>
              <w:sz w:val="20"/>
            </w:rPr>
            <w:fldChar w:fldCharType="end"/>
          </w:r>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966D3B">
            <w:rPr>
              <w:sz w:val="14"/>
            </w:rPr>
            <w:t>0324</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"Bezeichnung"  \* MERGEFORMAT </w:instrText>
          </w:r>
          <w:r w:rsidR="00E27B91">
            <w:rPr>
              <w:sz w:val="14"/>
            </w:rPr>
            <w:fldChar w:fldCharType="separate"/>
          </w:r>
          <w:r w:rsidR="00966D3B">
            <w:rPr>
              <w:sz w:val="14"/>
            </w:rPr>
            <w:t>Hinweise zum Gutachtenauftrag BK 2102/2112</w:t>
          </w:r>
          <w:r w:rsidR="00E27B91">
            <w:rPr>
              <w:sz w:val="14"/>
            </w:rPr>
            <w:fldChar w:fldCharType="end"/>
          </w:r>
        </w:p>
      </w:tc>
      <w:tc>
        <w:tcPr>
          <w:tcW w:w="567" w:type="dxa"/>
        </w:tcPr>
        <w:p w14:paraId="7F732685" w14:textId="6597BC03"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45724834" w14:textId="77777777" w:rsidR="00E27B91" w:rsidRDefault="00E27B91">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27B91" w14:paraId="707FDE4A" w14:textId="77777777">
      <w:tc>
        <w:tcPr>
          <w:tcW w:w="9412" w:type="dxa"/>
        </w:tcPr>
        <w:p w14:paraId="7E667060" w14:textId="24F9540A" w:rsidR="00E27B91" w:rsidRDefault="00000000" w:rsidP="00C866F1">
          <w:pPr>
            <w:pStyle w:val="Fuzeile"/>
            <w:tabs>
              <w:tab w:val="clear" w:pos="4536"/>
              <w:tab w:val="clear" w:pos="9072"/>
              <w:tab w:val="right" w:pos="9781"/>
            </w:tabs>
            <w:spacing w:before="80"/>
          </w:pPr>
          <w:r w:rsidRPr="0028142B">
            <w:rPr>
              <w:sz w:val="20"/>
            </w:rPr>
            <w:fldChar w:fldCharType="begin"/>
          </w:r>
          <w:r w:rsidRPr="0028142B">
            <w:rPr>
              <w:sz w:val="20"/>
            </w:rPr>
            <w:instrText xml:space="preserve"> DOCPROPERTY "Formtext" \* MERGEFORMAT </w:instrText>
          </w:r>
          <w:r w:rsidRPr="0028142B">
            <w:rPr>
              <w:sz w:val="20"/>
            </w:rPr>
            <w:fldChar w:fldCharType="separate"/>
          </w:r>
          <w:r w:rsidR="00966D3B" w:rsidRPr="0028142B">
            <w:rPr>
              <w:sz w:val="20"/>
            </w:rPr>
            <w:t>A 6206-2102/2112</w:t>
          </w:r>
          <w:r w:rsidRPr="0028142B">
            <w:rPr>
              <w:sz w:val="20"/>
            </w:rPr>
            <w:fldChar w:fldCharType="end"/>
          </w:r>
          <w:r w:rsidR="00E27B91">
            <w:t xml:space="preserve"> </w:t>
          </w:r>
          <w:r w:rsidR="00E27B91">
            <w:rPr>
              <w:sz w:val="14"/>
            </w:rPr>
            <w:fldChar w:fldCharType="begin"/>
          </w:r>
          <w:r w:rsidR="00E27B91">
            <w:rPr>
              <w:sz w:val="14"/>
            </w:rPr>
            <w:instrText xml:space="preserve"> DOCPROPERTY "Stand"  \* MERGEFORMAT </w:instrText>
          </w:r>
          <w:r w:rsidR="00E27B91">
            <w:rPr>
              <w:sz w:val="14"/>
            </w:rPr>
            <w:fldChar w:fldCharType="separate"/>
          </w:r>
          <w:r w:rsidR="00966D3B">
            <w:rPr>
              <w:sz w:val="14"/>
            </w:rPr>
            <w:t>0324</w:t>
          </w:r>
          <w:r w:rsidR="00E27B91">
            <w:rPr>
              <w:sz w:val="14"/>
            </w:rPr>
            <w:fldChar w:fldCharType="end"/>
          </w:r>
          <w:r w:rsidR="00E27B91">
            <w:rPr>
              <w:sz w:val="14"/>
            </w:rPr>
            <w:t xml:space="preserve"> </w:t>
          </w:r>
          <w:r w:rsidR="00E27B91">
            <w:rPr>
              <w:sz w:val="14"/>
            </w:rPr>
            <w:fldChar w:fldCharType="begin"/>
          </w:r>
          <w:r w:rsidR="00E27B91">
            <w:rPr>
              <w:sz w:val="14"/>
            </w:rPr>
            <w:instrText xml:space="preserve"> DOCPROPERTY "Bezeichnung"  \* MERGEFORMAT </w:instrText>
          </w:r>
          <w:r w:rsidR="00E27B91">
            <w:rPr>
              <w:sz w:val="14"/>
            </w:rPr>
            <w:fldChar w:fldCharType="separate"/>
          </w:r>
          <w:r w:rsidR="00966D3B">
            <w:rPr>
              <w:sz w:val="14"/>
            </w:rPr>
            <w:t>Hinweise zum Gutachtenauftrag BK 2102/2112</w:t>
          </w:r>
          <w:r w:rsidR="00E27B91">
            <w:rPr>
              <w:sz w:val="14"/>
            </w:rPr>
            <w:fldChar w:fldCharType="end"/>
          </w:r>
        </w:p>
      </w:tc>
      <w:tc>
        <w:tcPr>
          <w:tcW w:w="567" w:type="dxa"/>
        </w:tcPr>
        <w:p w14:paraId="3AF1FCE6" w14:textId="1A1A1E06" w:rsidR="00E27B91" w:rsidRDefault="00E27B91">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28142B">
            <w:rPr>
              <w:noProof/>
            </w:rPr>
            <w:instrText>3</w:instrText>
          </w:r>
          <w:r>
            <w:fldChar w:fldCharType="end"/>
          </w:r>
          <w:r>
            <w:instrText xml:space="preserve"> - </w:instrText>
          </w:r>
          <w:r>
            <w:fldChar w:fldCharType="begin"/>
          </w:r>
          <w:r>
            <w:instrText>PAGE</w:instrText>
          </w:r>
          <w:r>
            <w:fldChar w:fldCharType="separate"/>
          </w:r>
          <w:r w:rsidR="0028142B">
            <w:rPr>
              <w:noProof/>
            </w:rPr>
            <w:instrText>2</w:instrText>
          </w:r>
          <w:r>
            <w:fldChar w:fldCharType="end"/>
          </w:r>
          <w:r>
            <w:instrText xml:space="preserve"> </w:instrText>
          </w:r>
          <w:r>
            <w:fldChar w:fldCharType="separate"/>
          </w:r>
          <w:r w:rsidR="0028142B">
            <w:rPr>
              <w:noProof/>
            </w:rPr>
            <w:instrText>1</w:instrText>
          </w:r>
          <w:r>
            <w:fldChar w:fldCharType="end"/>
          </w:r>
          <w:r>
            <w:instrText xml:space="preserve"> &gt; 0 "..."</w:instrText>
          </w:r>
          <w:r w:rsidR="0028142B">
            <w:fldChar w:fldCharType="separate"/>
          </w:r>
          <w:r w:rsidR="0028142B">
            <w:rPr>
              <w:noProof/>
            </w:rPr>
            <w:t>...</w:t>
          </w:r>
          <w:r>
            <w:fldChar w:fldCharType="end"/>
          </w:r>
        </w:p>
      </w:tc>
    </w:tr>
  </w:tbl>
  <w:p w14:paraId="747FBBCF" w14:textId="77777777" w:rsidR="00E27B91" w:rsidRDefault="00E27B91">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6367" w14:textId="77777777" w:rsidR="0039521E" w:rsidRDefault="0039521E">
      <w:r>
        <w:separator/>
      </w:r>
    </w:p>
  </w:footnote>
  <w:footnote w:type="continuationSeparator" w:id="0">
    <w:p w14:paraId="58C1FEE7" w14:textId="77777777" w:rsidR="0039521E" w:rsidRDefault="0039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77FC" w14:textId="77777777" w:rsidR="00E27B91" w:rsidRDefault="00E27B91">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2F7F36">
      <w:rPr>
        <w:noProof/>
        <w:snapToGrid w:val="0"/>
      </w:rPr>
      <w:t>3</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89DA" w14:textId="77777777" w:rsidR="00E27B91" w:rsidRDefault="00E27B91">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2E7A10">
      <w:rPr>
        <w:noProof/>
        <w:snapToGrid w:val="0"/>
      </w:rPr>
      <w:t>3</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2D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C35663"/>
    <w:multiLevelType w:val="hybridMultilevel"/>
    <w:tmpl w:val="37E6C2A2"/>
    <w:lvl w:ilvl="0" w:tplc="29F86DA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0071F"/>
    <w:multiLevelType w:val="hybridMultilevel"/>
    <w:tmpl w:val="AC3E7340"/>
    <w:lvl w:ilvl="0" w:tplc="CAACE464">
      <w:numFmt w:val="bullet"/>
      <w:lvlText w:val="-"/>
      <w:lvlJc w:val="left"/>
      <w:pPr>
        <w:tabs>
          <w:tab w:val="num" w:pos="340"/>
        </w:tabs>
        <w:ind w:left="720" w:hanging="66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33E42"/>
    <w:multiLevelType w:val="multilevel"/>
    <w:tmpl w:val="37E6C2A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01AF7"/>
    <w:multiLevelType w:val="multilevel"/>
    <w:tmpl w:val="37E6C2A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35A20"/>
    <w:multiLevelType w:val="multilevel"/>
    <w:tmpl w:val="AC3E7340"/>
    <w:lvl w:ilvl="0">
      <w:numFmt w:val="bullet"/>
      <w:lvlText w:val="-"/>
      <w:lvlJc w:val="left"/>
      <w:pPr>
        <w:tabs>
          <w:tab w:val="num" w:pos="340"/>
        </w:tabs>
        <w:ind w:left="720" w:hanging="66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44A95"/>
    <w:multiLevelType w:val="hybridMultilevel"/>
    <w:tmpl w:val="087E0B4E"/>
    <w:lvl w:ilvl="0" w:tplc="9C0A95C8">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43E90"/>
    <w:multiLevelType w:val="hybridMultilevel"/>
    <w:tmpl w:val="E2628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D45B20"/>
    <w:multiLevelType w:val="hybridMultilevel"/>
    <w:tmpl w:val="539609B6"/>
    <w:lvl w:ilvl="0" w:tplc="4670906E">
      <w:numFmt w:val="bullet"/>
      <w:lvlText w:val="-"/>
      <w:lvlJc w:val="left"/>
      <w:pPr>
        <w:tabs>
          <w:tab w:val="num" w:pos="283"/>
        </w:tabs>
        <w:ind w:left="283" w:hanging="283"/>
      </w:pPr>
      <w:rPr>
        <w:rFonts w:ascii="Arial" w:eastAsia="Times New Roman" w:hAnsi="Arial" w:hint="default"/>
      </w:rPr>
    </w:lvl>
    <w:lvl w:ilvl="1" w:tplc="04070003" w:tentative="1">
      <w:start w:val="1"/>
      <w:numFmt w:val="bullet"/>
      <w:lvlText w:val="o"/>
      <w:lvlJc w:val="left"/>
      <w:pPr>
        <w:tabs>
          <w:tab w:val="num" w:pos="1383"/>
        </w:tabs>
        <w:ind w:left="1383" w:hanging="360"/>
      </w:pPr>
      <w:rPr>
        <w:rFonts w:ascii="Courier New" w:hAnsi="Courier New" w:cs="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cs="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cs="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63D404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DB37D3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16cid:durableId="958997572">
    <w:abstractNumId w:val="0"/>
  </w:num>
  <w:num w:numId="2" w16cid:durableId="1206212853">
    <w:abstractNumId w:val="10"/>
  </w:num>
  <w:num w:numId="3" w16cid:durableId="2080054237">
    <w:abstractNumId w:val="9"/>
  </w:num>
  <w:num w:numId="4" w16cid:durableId="764613156">
    <w:abstractNumId w:val="6"/>
  </w:num>
  <w:num w:numId="5" w16cid:durableId="592709498">
    <w:abstractNumId w:val="1"/>
  </w:num>
  <w:num w:numId="6" w16cid:durableId="927232226">
    <w:abstractNumId w:val="4"/>
  </w:num>
  <w:num w:numId="7" w16cid:durableId="1694961774">
    <w:abstractNumId w:val="3"/>
  </w:num>
  <w:num w:numId="8" w16cid:durableId="216477327">
    <w:abstractNumId w:val="2"/>
  </w:num>
  <w:num w:numId="9" w16cid:durableId="1051265957">
    <w:abstractNumId w:val="5"/>
  </w:num>
  <w:num w:numId="10" w16cid:durableId="367995792">
    <w:abstractNumId w:val="8"/>
  </w:num>
  <w:num w:numId="11" w16cid:durableId="356350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E3"/>
    <w:rsid w:val="00006283"/>
    <w:rsid w:val="00030483"/>
    <w:rsid w:val="00051248"/>
    <w:rsid w:val="00066DFB"/>
    <w:rsid w:val="000906D7"/>
    <w:rsid w:val="000F16BF"/>
    <w:rsid w:val="000F7146"/>
    <w:rsid w:val="000F7C1D"/>
    <w:rsid w:val="00111F81"/>
    <w:rsid w:val="00112E0D"/>
    <w:rsid w:val="00117A88"/>
    <w:rsid w:val="00134F01"/>
    <w:rsid w:val="001644FD"/>
    <w:rsid w:val="001852ED"/>
    <w:rsid w:val="00193718"/>
    <w:rsid w:val="001B6E99"/>
    <w:rsid w:val="001C2C52"/>
    <w:rsid w:val="001C3A56"/>
    <w:rsid w:val="001E7074"/>
    <w:rsid w:val="001F67C7"/>
    <w:rsid w:val="0020300A"/>
    <w:rsid w:val="00203012"/>
    <w:rsid w:val="00237115"/>
    <w:rsid w:val="00237AD0"/>
    <w:rsid w:val="002634EC"/>
    <w:rsid w:val="002658CD"/>
    <w:rsid w:val="00265E0B"/>
    <w:rsid w:val="0028142B"/>
    <w:rsid w:val="002931FA"/>
    <w:rsid w:val="002D031A"/>
    <w:rsid w:val="002D4E33"/>
    <w:rsid w:val="002D689B"/>
    <w:rsid w:val="002E361E"/>
    <w:rsid w:val="002E7A10"/>
    <w:rsid w:val="002E7F3D"/>
    <w:rsid w:val="002F7F36"/>
    <w:rsid w:val="00307645"/>
    <w:rsid w:val="00332E31"/>
    <w:rsid w:val="0033712B"/>
    <w:rsid w:val="0034158F"/>
    <w:rsid w:val="00365433"/>
    <w:rsid w:val="00372238"/>
    <w:rsid w:val="00376A48"/>
    <w:rsid w:val="0039521E"/>
    <w:rsid w:val="003A657B"/>
    <w:rsid w:val="003D04E4"/>
    <w:rsid w:val="00403458"/>
    <w:rsid w:val="00403F0F"/>
    <w:rsid w:val="00405173"/>
    <w:rsid w:val="00410097"/>
    <w:rsid w:val="00412216"/>
    <w:rsid w:val="00434491"/>
    <w:rsid w:val="00446B0A"/>
    <w:rsid w:val="00456B9E"/>
    <w:rsid w:val="0046027D"/>
    <w:rsid w:val="004D323C"/>
    <w:rsid w:val="0054323F"/>
    <w:rsid w:val="00574510"/>
    <w:rsid w:val="005945B7"/>
    <w:rsid w:val="005A0CCD"/>
    <w:rsid w:val="005A35D6"/>
    <w:rsid w:val="005B36F9"/>
    <w:rsid w:val="005C4BEF"/>
    <w:rsid w:val="005C4E2E"/>
    <w:rsid w:val="005D2FB2"/>
    <w:rsid w:val="005D3EE3"/>
    <w:rsid w:val="005E631B"/>
    <w:rsid w:val="005F0F7C"/>
    <w:rsid w:val="00624999"/>
    <w:rsid w:val="00624BF8"/>
    <w:rsid w:val="00637B34"/>
    <w:rsid w:val="0068374C"/>
    <w:rsid w:val="006924BD"/>
    <w:rsid w:val="006A004B"/>
    <w:rsid w:val="006B1CD0"/>
    <w:rsid w:val="00711EB1"/>
    <w:rsid w:val="00715991"/>
    <w:rsid w:val="00733317"/>
    <w:rsid w:val="00756F46"/>
    <w:rsid w:val="00767740"/>
    <w:rsid w:val="007808CC"/>
    <w:rsid w:val="007C14C4"/>
    <w:rsid w:val="007C4D24"/>
    <w:rsid w:val="007E4A31"/>
    <w:rsid w:val="00832F11"/>
    <w:rsid w:val="00851330"/>
    <w:rsid w:val="00851594"/>
    <w:rsid w:val="00855FFE"/>
    <w:rsid w:val="00865423"/>
    <w:rsid w:val="008917A9"/>
    <w:rsid w:val="008B27BA"/>
    <w:rsid w:val="008C5981"/>
    <w:rsid w:val="008D7480"/>
    <w:rsid w:val="008E4258"/>
    <w:rsid w:val="008F1141"/>
    <w:rsid w:val="00902E7D"/>
    <w:rsid w:val="0090591E"/>
    <w:rsid w:val="00905AF0"/>
    <w:rsid w:val="00910339"/>
    <w:rsid w:val="00927F32"/>
    <w:rsid w:val="00946690"/>
    <w:rsid w:val="00966D3B"/>
    <w:rsid w:val="00982F91"/>
    <w:rsid w:val="009872C8"/>
    <w:rsid w:val="009E574F"/>
    <w:rsid w:val="009F4AFB"/>
    <w:rsid w:val="00A04711"/>
    <w:rsid w:val="00A42267"/>
    <w:rsid w:val="00AA410C"/>
    <w:rsid w:val="00AA5159"/>
    <w:rsid w:val="00AC444D"/>
    <w:rsid w:val="00B00E1E"/>
    <w:rsid w:val="00B1762F"/>
    <w:rsid w:val="00B25B49"/>
    <w:rsid w:val="00B43A35"/>
    <w:rsid w:val="00B66005"/>
    <w:rsid w:val="00B66AA4"/>
    <w:rsid w:val="00B72723"/>
    <w:rsid w:val="00BA5A59"/>
    <w:rsid w:val="00BF1E6B"/>
    <w:rsid w:val="00BF5336"/>
    <w:rsid w:val="00C038CE"/>
    <w:rsid w:val="00C07A23"/>
    <w:rsid w:val="00C244AD"/>
    <w:rsid w:val="00C43559"/>
    <w:rsid w:val="00C67242"/>
    <w:rsid w:val="00C866F1"/>
    <w:rsid w:val="00C94430"/>
    <w:rsid w:val="00CC5BAA"/>
    <w:rsid w:val="00CD2BE7"/>
    <w:rsid w:val="00CD7DA7"/>
    <w:rsid w:val="00CE17E8"/>
    <w:rsid w:val="00D255F7"/>
    <w:rsid w:val="00D55832"/>
    <w:rsid w:val="00D57EE3"/>
    <w:rsid w:val="00D67C1C"/>
    <w:rsid w:val="00D71094"/>
    <w:rsid w:val="00D77A48"/>
    <w:rsid w:val="00DA01AB"/>
    <w:rsid w:val="00DC3027"/>
    <w:rsid w:val="00E16E1F"/>
    <w:rsid w:val="00E200AA"/>
    <w:rsid w:val="00E225AD"/>
    <w:rsid w:val="00E27B91"/>
    <w:rsid w:val="00E333DD"/>
    <w:rsid w:val="00E4108E"/>
    <w:rsid w:val="00E8105F"/>
    <w:rsid w:val="00E82A77"/>
    <w:rsid w:val="00E9688F"/>
    <w:rsid w:val="00E97F3B"/>
    <w:rsid w:val="00EA4669"/>
    <w:rsid w:val="00EC0AD2"/>
    <w:rsid w:val="00EC4EFC"/>
    <w:rsid w:val="00EE0A27"/>
    <w:rsid w:val="00F27F1B"/>
    <w:rsid w:val="00F32F8F"/>
    <w:rsid w:val="00F41AC9"/>
    <w:rsid w:val="00F56BDF"/>
    <w:rsid w:val="00F930BA"/>
    <w:rsid w:val="00FD7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44AE"/>
  <w15:docId w15:val="{0C9ECF1F-1E5D-4EF3-AF7A-72C1D1F6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4669"/>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tabs>
        <w:tab w:val="left" w:pos="284"/>
      </w:tabs>
      <w:jc w:val="both"/>
      <w:outlineLvl w:val="1"/>
    </w:pPr>
    <w:rPr>
      <w:rFonts w:eastAsia="Arial Unicode MS"/>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tabs>
        <w:tab w:val="left" w:pos="360"/>
      </w:tabs>
    </w:pPr>
  </w:style>
  <w:style w:type="paragraph" w:styleId="Textkrper">
    <w:name w:val="Body Text"/>
    <w:basedOn w:val="Standard"/>
    <w:rsid w:val="005A35D6"/>
    <w:pPr>
      <w:spacing w:after="120"/>
    </w:pPr>
  </w:style>
  <w:style w:type="paragraph" w:styleId="Sprechblasentext">
    <w:name w:val="Balloon Text"/>
    <w:basedOn w:val="Standard"/>
    <w:link w:val="SprechblasentextZchn"/>
    <w:rsid w:val="003D04E4"/>
    <w:rPr>
      <w:rFonts w:ascii="Tahoma" w:hAnsi="Tahoma" w:cs="Tahoma"/>
      <w:sz w:val="16"/>
      <w:szCs w:val="16"/>
    </w:rPr>
  </w:style>
  <w:style w:type="character" w:customStyle="1" w:styleId="SprechblasentextZchn">
    <w:name w:val="Sprechblasentext Zchn"/>
    <w:link w:val="Sprechblasentext"/>
    <w:rsid w:val="003D04E4"/>
    <w:rPr>
      <w:rFonts w:ascii="Tahoma" w:hAnsi="Tahoma" w:cs="Tahoma"/>
      <w:sz w:val="16"/>
      <w:szCs w:val="16"/>
    </w:rPr>
  </w:style>
  <w:style w:type="character" w:styleId="Hyperlink">
    <w:name w:val="Hyperlink"/>
    <w:uiPriority w:val="99"/>
    <w:unhideWhenUsed/>
    <w:rsid w:val="001E7074"/>
    <w:rPr>
      <w:color w:val="0000FF"/>
      <w:u w:val="single"/>
    </w:rPr>
  </w:style>
  <w:style w:type="character" w:styleId="BesuchterLink">
    <w:name w:val="FollowedHyperlink"/>
    <w:basedOn w:val="Absatz-Standardschriftart"/>
    <w:semiHidden/>
    <w:unhideWhenUsed/>
    <w:rsid w:val="00237115"/>
    <w:rPr>
      <w:color w:val="954F72" w:themeColor="followedHyperlink"/>
      <w:u w:val="single"/>
    </w:rPr>
  </w:style>
  <w:style w:type="character" w:styleId="NichtaufgelsteErwhnung">
    <w:name w:val="Unresolved Mention"/>
    <w:basedOn w:val="Absatz-Standardschriftart"/>
    <w:uiPriority w:val="99"/>
    <w:semiHidden/>
    <w:unhideWhenUsed/>
    <w:rsid w:val="00030483"/>
    <w:rPr>
      <w:color w:val="605E5C"/>
      <w:shd w:val="clear" w:color="auto" w:fill="E1DFDD"/>
    </w:rPr>
  </w:style>
  <w:style w:type="character" w:styleId="Platzhaltertext">
    <w:name w:val="Placeholder Text"/>
    <w:basedOn w:val="Absatz-Standardschriftart"/>
    <w:uiPriority w:val="99"/>
    <w:semiHidden/>
    <w:rsid w:val="00030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4852">
      <w:bodyDiv w:val="1"/>
      <w:marLeft w:val="0"/>
      <w:marRight w:val="0"/>
      <w:marTop w:val="0"/>
      <w:marBottom w:val="0"/>
      <w:divBdr>
        <w:top w:val="none" w:sz="0" w:space="0" w:color="auto"/>
        <w:left w:val="none" w:sz="0" w:space="0" w:color="auto"/>
        <w:bottom w:val="none" w:sz="0" w:space="0" w:color="auto"/>
        <w:right w:val="none" w:sz="0" w:space="0" w:color="auto"/>
      </w:divBdr>
    </w:div>
    <w:div w:id="1009214116">
      <w:bodyDiv w:val="1"/>
      <w:marLeft w:val="0"/>
      <w:marRight w:val="0"/>
      <w:marTop w:val="0"/>
      <w:marBottom w:val="0"/>
      <w:divBdr>
        <w:top w:val="none" w:sz="0" w:space="0" w:color="auto"/>
        <w:left w:val="none" w:sz="0" w:space="0" w:color="auto"/>
        <w:bottom w:val="none" w:sz="0" w:space="0" w:color="auto"/>
        <w:right w:val="none" w:sz="0" w:space="0" w:color="auto"/>
      </w:divBdr>
    </w:div>
    <w:div w:id="1156847087">
      <w:bodyDiv w:val="1"/>
      <w:marLeft w:val="0"/>
      <w:marRight w:val="0"/>
      <w:marTop w:val="0"/>
      <w:marBottom w:val="0"/>
      <w:divBdr>
        <w:top w:val="none" w:sz="0" w:space="0" w:color="auto"/>
        <w:left w:val="none" w:sz="0" w:space="0" w:color="auto"/>
        <w:bottom w:val="none" w:sz="0" w:space="0" w:color="auto"/>
        <w:right w:val="none" w:sz="0" w:space="0" w:color="auto"/>
      </w:divBdr>
    </w:div>
    <w:div w:id="17465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ua.de/de/Themen-von-A-Z/Berufskrankheiten/Dokumente/Merkblaette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uv.de/webcode/m2224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AC28102-CD03-4217-9E9F-442ABA3DCDA6}"/>
      </w:docPartPr>
      <w:docPartBody>
        <w:p w:rsidR="002A7BCE" w:rsidRDefault="00F01390">
          <w:r w:rsidRPr="00944DF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90"/>
    <w:rsid w:val="002A7BCE"/>
    <w:rsid w:val="00600FD3"/>
    <w:rsid w:val="00AD6553"/>
    <w:rsid w:val="00F01390"/>
    <w:rsid w:val="00F25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139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9286-5300-448A-80C5-384DE8E1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1</Pages>
  <Words>857</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Hinweise zum Gutachtenauftrag BK 2102/2112</vt:lpstr>
    </vt:vector>
  </TitlesOfParts>
  <Company>DGUV</Company>
  <LinksUpToDate>false</LinksUpToDate>
  <CharactersWithSpaces>6247</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zum Gutachtenauftrag BK 2102/2112</dc:title>
  <dc:subject>0324</dc:subject>
  <dc:creator>AG Formtexte</dc:creator>
  <cp:lastModifiedBy>Pukies, Kristin</cp:lastModifiedBy>
  <cp:revision>10</cp:revision>
  <cp:lastPrinted>2017-07-10T10:50:00Z</cp:lastPrinted>
  <dcterms:created xsi:type="dcterms:W3CDTF">2020-10-30T07:03:00Z</dcterms:created>
  <dcterms:modified xsi:type="dcterms:W3CDTF">2024-03-20T10:10:00Z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6206-2102/2112</vt:lpwstr>
  </property>
  <property fmtid="{D5CDD505-2E9C-101B-9397-08002B2CF9AE}" pid="3" name="Stand">
    <vt:lpwstr>0324</vt:lpwstr>
  </property>
  <property fmtid="{D5CDD505-2E9C-101B-9397-08002B2CF9AE}" pid="4" name="Bezeichnung">
    <vt:lpwstr>Hinweise zum Gutachtenauftrag BK 2102/2112</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MSIP_Label_7545839c-a198-4d87-a0d2-c07b8aa32614_Enabled">
    <vt:lpwstr>true</vt:lpwstr>
  </property>
  <property fmtid="{D5CDD505-2E9C-101B-9397-08002B2CF9AE}" pid="9" name="MSIP_Label_7545839c-a198-4d87-a0d2-c07b8aa32614_SetDate">
    <vt:lpwstr>2024-03-20T10:09:03Z</vt:lpwstr>
  </property>
  <property fmtid="{D5CDD505-2E9C-101B-9397-08002B2CF9AE}" pid="10" name="MSIP_Label_7545839c-a198-4d87-a0d2-c07b8aa32614_Method">
    <vt:lpwstr>Standard</vt:lpwstr>
  </property>
  <property fmtid="{D5CDD505-2E9C-101B-9397-08002B2CF9AE}" pid="11" name="MSIP_Label_7545839c-a198-4d87-a0d2-c07b8aa32614_Name">
    <vt:lpwstr>Öffentlich</vt:lpwstr>
  </property>
  <property fmtid="{D5CDD505-2E9C-101B-9397-08002B2CF9AE}" pid="12" name="MSIP_Label_7545839c-a198-4d87-a0d2-c07b8aa32614_SiteId">
    <vt:lpwstr>f3987bed-0f17-4307-a6bb-a2ae861736b7</vt:lpwstr>
  </property>
  <property fmtid="{D5CDD505-2E9C-101B-9397-08002B2CF9AE}" pid="13" name="MSIP_Label_7545839c-a198-4d87-a0d2-c07b8aa32614_ActionId">
    <vt:lpwstr>5a544d88-83bb-4e96-92db-fb84827eb2d9</vt:lpwstr>
  </property>
  <property fmtid="{D5CDD505-2E9C-101B-9397-08002B2CF9AE}" pid="14" name="MSIP_Label_7545839c-a198-4d87-a0d2-c07b8aa32614_ContentBits">
    <vt:lpwstr>0</vt:lpwstr>
  </property>
</Properties>
</file>