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E3" w:rsidRDefault="005D3EE3" w:rsidP="00496D0A">
      <w:pPr>
        <w:pStyle w:val="1ptlinksbndig"/>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5D3EE3" w:rsidRPr="00233E61">
        <w:tblPrEx>
          <w:tblCellMar>
            <w:top w:w="0" w:type="dxa"/>
            <w:bottom w:w="0" w:type="dxa"/>
          </w:tblCellMar>
        </w:tblPrEx>
        <w:trPr>
          <w:trHeight w:hRule="exact" w:val="1134"/>
        </w:trPr>
        <w:tc>
          <w:tcPr>
            <w:tcW w:w="9979" w:type="dxa"/>
            <w:tcBorders>
              <w:top w:val="nil"/>
              <w:left w:val="nil"/>
              <w:bottom w:val="nil"/>
              <w:right w:val="nil"/>
            </w:tcBorders>
          </w:tcPr>
          <w:p w:rsidR="005D3EE3" w:rsidRPr="00233E61" w:rsidRDefault="005D3EE3"/>
        </w:tc>
      </w:tr>
    </w:tbl>
    <w:p w:rsidR="005D3EE3" w:rsidRDefault="005D3EE3">
      <w:pPr>
        <w:sectPr w:rsidR="005D3EE3">
          <w:headerReference w:type="default" r:id="rId8"/>
          <w:footerReference w:type="default" r:id="rId9"/>
          <w:footerReference w:type="first" r:id="rId10"/>
          <w:type w:val="continuous"/>
          <w:pgSz w:w="11906" w:h="16838" w:code="9"/>
          <w:pgMar w:top="454" w:right="680" w:bottom="737" w:left="1361" w:header="284" w:footer="454" w:gutter="0"/>
          <w:cols w:space="720"/>
          <w:titlePg/>
        </w:sectPr>
      </w:pPr>
    </w:p>
    <w:p w:rsidR="005D3EE3" w:rsidRDefault="005D3EE3"/>
    <w:p w:rsidR="005D3EE3" w:rsidRDefault="005D3EE3"/>
    <w:p w:rsidR="006C0C0F" w:rsidRDefault="006C0C0F" w:rsidP="006C0C0F">
      <w:pPr>
        <w:autoSpaceDN w:val="0"/>
        <w:jc w:val="center"/>
        <w:textAlignment w:val="baseline"/>
        <w:rPr>
          <w:b/>
          <w:kern w:val="3"/>
          <w:sz w:val="24"/>
          <w:szCs w:val="24"/>
        </w:rPr>
      </w:pPr>
      <w:bookmarkStart w:id="1" w:name="Anfang"/>
      <w:bookmarkEnd w:id="1"/>
    </w:p>
    <w:p w:rsidR="006C0C0F" w:rsidRPr="00703D12" w:rsidRDefault="006C0C0F" w:rsidP="006C0C0F">
      <w:pPr>
        <w:autoSpaceDN w:val="0"/>
        <w:jc w:val="center"/>
        <w:textAlignment w:val="baseline"/>
        <w:rPr>
          <w:b/>
          <w:kern w:val="3"/>
          <w:sz w:val="24"/>
          <w:szCs w:val="24"/>
        </w:rPr>
      </w:pPr>
      <w:r w:rsidRPr="00703D12">
        <w:rPr>
          <w:b/>
          <w:kern w:val="3"/>
          <w:sz w:val="24"/>
          <w:szCs w:val="24"/>
        </w:rPr>
        <w:t>Kausalitäts- und Beweisgrundsätze der gesetzlichen Unfallversicherung</w:t>
      </w:r>
    </w:p>
    <w:p w:rsidR="006C0C0F" w:rsidRDefault="006C0C0F" w:rsidP="006C0C0F">
      <w:pPr>
        <w:autoSpaceDN w:val="0"/>
        <w:textAlignment w:val="baseline"/>
        <w:rPr>
          <w:kern w:val="3"/>
          <w:szCs w:val="24"/>
        </w:rPr>
      </w:pPr>
    </w:p>
    <w:p w:rsidR="00970C9F" w:rsidRDefault="00970C9F" w:rsidP="006C0C0F">
      <w:pPr>
        <w:autoSpaceDN w:val="0"/>
        <w:textAlignment w:val="baseline"/>
        <w:rPr>
          <w:kern w:val="3"/>
        </w:rPr>
      </w:pPr>
    </w:p>
    <w:p w:rsidR="00C107DB" w:rsidRDefault="00C107DB" w:rsidP="006C0C0F">
      <w:pPr>
        <w:autoSpaceDN w:val="0"/>
        <w:textAlignment w:val="baseline"/>
        <w:rPr>
          <w:kern w:val="3"/>
        </w:rPr>
      </w:pPr>
    </w:p>
    <w:p w:rsidR="006C0C0F" w:rsidRPr="00703D12" w:rsidRDefault="006C0C0F" w:rsidP="006C0C0F">
      <w:pPr>
        <w:autoSpaceDN w:val="0"/>
        <w:textAlignment w:val="baseline"/>
        <w:rPr>
          <w:kern w:val="3"/>
        </w:rPr>
      </w:pPr>
      <w:r w:rsidRPr="00703D12">
        <w:rPr>
          <w:kern w:val="3"/>
        </w:rPr>
        <w:t xml:space="preserve">Ausführliche Informationen zur Begutachtung in der Gesetzlichen Unfallversicherung finden Sie in der DGUV-Broschüre </w:t>
      </w:r>
      <w:hyperlink r:id="rId11" w:history="1">
        <w:r w:rsidRPr="00894DF3">
          <w:rPr>
            <w:rStyle w:val="Hyperlink"/>
            <w:b/>
            <w:kern w:val="3"/>
          </w:rPr>
          <w:t>„Grundlagen der Begutachtung von Arbeitsunfällen – Erläuterungen für Sachverständige“</w:t>
        </w:r>
      </w:hyperlink>
      <w:r w:rsidRPr="00703D12">
        <w:rPr>
          <w:b/>
          <w:kern w:val="3"/>
        </w:rPr>
        <w:t>.</w:t>
      </w:r>
    </w:p>
    <w:p w:rsidR="006C0C0F" w:rsidRDefault="006C0C0F" w:rsidP="006C0C0F">
      <w:pPr>
        <w:autoSpaceDN w:val="0"/>
        <w:textAlignment w:val="baseline"/>
        <w:rPr>
          <w:b/>
          <w:kern w:val="3"/>
        </w:rPr>
      </w:pPr>
    </w:p>
    <w:p w:rsidR="00970C9F" w:rsidRDefault="00970C9F" w:rsidP="006C0C0F">
      <w:pPr>
        <w:autoSpaceDN w:val="0"/>
        <w:textAlignment w:val="baseline"/>
        <w:rPr>
          <w:b/>
          <w:kern w:val="3"/>
        </w:rPr>
      </w:pPr>
    </w:p>
    <w:p w:rsidR="00C107DB" w:rsidRDefault="00C107DB" w:rsidP="006C0C0F">
      <w:pPr>
        <w:autoSpaceDN w:val="0"/>
        <w:textAlignment w:val="baseline"/>
        <w:rPr>
          <w:b/>
          <w:kern w:val="3"/>
        </w:rPr>
      </w:pPr>
    </w:p>
    <w:tbl>
      <w:tblPr>
        <w:tblW w:w="0" w:type="auto"/>
        <w:tblLayout w:type="fixed"/>
        <w:tblCellMar>
          <w:left w:w="70" w:type="dxa"/>
          <w:right w:w="70" w:type="dxa"/>
        </w:tblCellMar>
        <w:tblLook w:val="0000" w:firstRow="0" w:lastRow="0" w:firstColumn="0" w:lastColumn="0" w:noHBand="0" w:noVBand="0"/>
      </w:tblPr>
      <w:tblGrid>
        <w:gridCol w:w="454"/>
        <w:gridCol w:w="9526"/>
      </w:tblGrid>
      <w:tr w:rsidR="006C0C0F" w:rsidRPr="00703D12" w:rsidTr="00421727">
        <w:tblPrEx>
          <w:tblCellMar>
            <w:top w:w="0" w:type="dxa"/>
            <w:bottom w:w="0" w:type="dxa"/>
          </w:tblCellMar>
        </w:tblPrEx>
        <w:tc>
          <w:tcPr>
            <w:tcW w:w="9980" w:type="dxa"/>
            <w:gridSpan w:val="2"/>
          </w:tcPr>
          <w:p w:rsidR="006C0C0F" w:rsidRPr="00703D12" w:rsidRDefault="006C0C0F" w:rsidP="00421727">
            <w:pPr>
              <w:autoSpaceDN w:val="0"/>
              <w:textAlignment w:val="baseline"/>
              <w:rPr>
                <w:b/>
                <w:kern w:val="3"/>
              </w:rPr>
            </w:pPr>
            <w:r w:rsidRPr="00703D12">
              <w:rPr>
                <w:b/>
                <w:kern w:val="3"/>
              </w:rPr>
              <w:t>Gesundheitserstschaden / Gesundheitsfolgeschaden</w:t>
            </w:r>
          </w:p>
        </w:tc>
      </w:tr>
      <w:tr w:rsidR="006C0C0F" w:rsidRPr="006C0C0F" w:rsidTr="00421727">
        <w:tblPrEx>
          <w:tblCellMar>
            <w:top w:w="0" w:type="dxa"/>
            <w:bottom w:w="0" w:type="dxa"/>
          </w:tblCellMar>
        </w:tblPrEx>
        <w:trPr>
          <w:trHeight w:val="150"/>
        </w:trPr>
        <w:tc>
          <w:tcPr>
            <w:tcW w:w="454" w:type="dxa"/>
          </w:tcPr>
          <w:p w:rsidR="006C0C0F" w:rsidRPr="006C0C0F" w:rsidRDefault="006C0C0F" w:rsidP="00421727"/>
        </w:tc>
        <w:tc>
          <w:tcPr>
            <w:tcW w:w="9526" w:type="dxa"/>
          </w:tcPr>
          <w:p w:rsidR="006C0C0F" w:rsidRPr="006C0C0F" w:rsidRDefault="006C0C0F" w:rsidP="00421727">
            <w:pPr>
              <w:autoSpaceDN w:val="0"/>
              <w:textAlignment w:val="baseline"/>
              <w:rPr>
                <w:kern w:val="3"/>
              </w:rPr>
            </w:pPr>
          </w:p>
        </w:tc>
      </w:tr>
      <w:tr w:rsidR="006C0C0F" w:rsidRPr="00703D12" w:rsidTr="00421727">
        <w:tblPrEx>
          <w:tblCellMar>
            <w:top w:w="0" w:type="dxa"/>
            <w:bottom w:w="0" w:type="dxa"/>
          </w:tblCellMar>
        </w:tblPrEx>
        <w:tc>
          <w:tcPr>
            <w:tcW w:w="454" w:type="dxa"/>
          </w:tcPr>
          <w:p w:rsidR="006C0C0F" w:rsidRPr="00703D12" w:rsidRDefault="006C0C0F" w:rsidP="00421727">
            <w:pPr>
              <w:spacing w:after="240"/>
            </w:pPr>
          </w:p>
        </w:tc>
        <w:tc>
          <w:tcPr>
            <w:tcW w:w="9526" w:type="dxa"/>
          </w:tcPr>
          <w:p w:rsidR="006C0C0F" w:rsidRDefault="006C0C0F" w:rsidP="00421727">
            <w:pPr>
              <w:autoSpaceDN w:val="0"/>
              <w:textAlignment w:val="baseline"/>
              <w:rPr>
                <w:kern w:val="3"/>
              </w:rPr>
            </w:pPr>
            <w:r w:rsidRPr="00703D12">
              <w:rPr>
                <w:kern w:val="3"/>
              </w:rPr>
              <w:t xml:space="preserve">Gesundheitserstschäden sind alle unmittelbar durch das Unfallereignis verursachten regelwidrigen Zustände des Körpers einschließlich der Psyche. </w:t>
            </w:r>
          </w:p>
          <w:p w:rsidR="006C0C0F" w:rsidRDefault="006C0C0F" w:rsidP="00421727">
            <w:pPr>
              <w:autoSpaceDN w:val="0"/>
              <w:textAlignment w:val="baseline"/>
              <w:rPr>
                <w:kern w:val="3"/>
              </w:rPr>
            </w:pPr>
          </w:p>
          <w:p w:rsidR="006C0C0F" w:rsidRPr="00703D12" w:rsidRDefault="006C0C0F" w:rsidP="00421727">
            <w:pPr>
              <w:autoSpaceDN w:val="0"/>
              <w:textAlignment w:val="baseline"/>
            </w:pPr>
            <w:r w:rsidRPr="00703D12">
              <w:rPr>
                <w:kern w:val="3"/>
              </w:rPr>
              <w:t xml:space="preserve">Ein Entschädigungsanspruch setzt immer </w:t>
            </w:r>
            <w:r w:rsidRPr="00703D12">
              <w:rPr>
                <w:b/>
                <w:kern w:val="3"/>
              </w:rPr>
              <w:t>eine gesicherte (Vollbeweis) medizinisch-wissenschaftliche Verletzungsdiagnose</w:t>
            </w:r>
            <w:r w:rsidRPr="00703D12">
              <w:rPr>
                <w:kern w:val="3"/>
              </w:rPr>
              <w:t xml:space="preserve"> voraus. Unter Gesundheitsfolgeschäden versteht man die durch das Unfallereignis verursachten späteren funktionellen Schäden, die ggf. eine Minderung der Erwerbsfähigkeit (MdE) begründen können. </w:t>
            </w:r>
          </w:p>
        </w:tc>
      </w:tr>
      <w:tr w:rsidR="006C0C0F" w:rsidRPr="006C0C0F" w:rsidTr="00421727">
        <w:tblPrEx>
          <w:tblCellMar>
            <w:top w:w="0" w:type="dxa"/>
            <w:bottom w:w="0" w:type="dxa"/>
          </w:tblCellMar>
        </w:tblPrEx>
        <w:trPr>
          <w:trHeight w:val="150"/>
        </w:trPr>
        <w:tc>
          <w:tcPr>
            <w:tcW w:w="454" w:type="dxa"/>
          </w:tcPr>
          <w:p w:rsidR="006C0C0F" w:rsidRPr="006C0C0F" w:rsidRDefault="006C0C0F" w:rsidP="00421727"/>
        </w:tc>
        <w:tc>
          <w:tcPr>
            <w:tcW w:w="9526" w:type="dxa"/>
          </w:tcPr>
          <w:p w:rsidR="006C0C0F" w:rsidRPr="006C0C0F" w:rsidRDefault="006C0C0F" w:rsidP="00421727">
            <w:pPr>
              <w:autoSpaceDN w:val="0"/>
              <w:textAlignment w:val="baseline"/>
              <w:rPr>
                <w:kern w:val="3"/>
              </w:rPr>
            </w:pPr>
          </w:p>
        </w:tc>
      </w:tr>
      <w:tr w:rsidR="006C0C0F" w:rsidRPr="00703D12" w:rsidTr="00421727">
        <w:tblPrEx>
          <w:tblCellMar>
            <w:top w:w="0" w:type="dxa"/>
            <w:bottom w:w="0" w:type="dxa"/>
          </w:tblCellMar>
        </w:tblPrEx>
        <w:tc>
          <w:tcPr>
            <w:tcW w:w="9980" w:type="dxa"/>
            <w:gridSpan w:val="2"/>
          </w:tcPr>
          <w:p w:rsidR="006C0C0F" w:rsidRPr="00703D12" w:rsidRDefault="006C0C0F" w:rsidP="00421727">
            <w:pPr>
              <w:autoSpaceDN w:val="0"/>
              <w:textAlignment w:val="baseline"/>
              <w:rPr>
                <w:b/>
                <w:kern w:val="3"/>
              </w:rPr>
            </w:pPr>
            <w:r w:rsidRPr="00703D12">
              <w:rPr>
                <w:b/>
                <w:kern w:val="3"/>
              </w:rPr>
              <w:t>Vollbeweis der Tatsachen (zweifelsfrei, d.h. eine an Sicherheit grenzende Wahrscheinlichkeit)</w:t>
            </w:r>
          </w:p>
        </w:tc>
      </w:tr>
      <w:tr w:rsidR="006C0C0F" w:rsidRPr="006C0C0F" w:rsidTr="00421727">
        <w:tblPrEx>
          <w:tblCellMar>
            <w:top w:w="0" w:type="dxa"/>
            <w:bottom w:w="0" w:type="dxa"/>
          </w:tblCellMar>
        </w:tblPrEx>
        <w:trPr>
          <w:trHeight w:val="150"/>
        </w:trPr>
        <w:tc>
          <w:tcPr>
            <w:tcW w:w="454" w:type="dxa"/>
          </w:tcPr>
          <w:p w:rsidR="006C0C0F" w:rsidRPr="006C0C0F" w:rsidRDefault="006C0C0F" w:rsidP="00421727"/>
        </w:tc>
        <w:tc>
          <w:tcPr>
            <w:tcW w:w="9526" w:type="dxa"/>
          </w:tcPr>
          <w:p w:rsidR="006C0C0F" w:rsidRPr="006C0C0F" w:rsidRDefault="006C0C0F" w:rsidP="00421727">
            <w:pPr>
              <w:autoSpaceDN w:val="0"/>
              <w:textAlignment w:val="baseline"/>
              <w:rPr>
                <w:kern w:val="3"/>
              </w:rPr>
            </w:pPr>
          </w:p>
        </w:tc>
      </w:tr>
      <w:tr w:rsidR="006C0C0F" w:rsidRPr="00703D12" w:rsidTr="00421727">
        <w:tblPrEx>
          <w:tblCellMar>
            <w:top w:w="0" w:type="dxa"/>
            <w:bottom w:w="0" w:type="dxa"/>
          </w:tblCellMar>
        </w:tblPrEx>
        <w:tc>
          <w:tcPr>
            <w:tcW w:w="454" w:type="dxa"/>
          </w:tcPr>
          <w:p w:rsidR="006C0C0F" w:rsidRPr="00703D12" w:rsidRDefault="006C0C0F" w:rsidP="00421727">
            <w:pPr>
              <w:spacing w:after="240"/>
            </w:pPr>
          </w:p>
        </w:tc>
        <w:tc>
          <w:tcPr>
            <w:tcW w:w="9526" w:type="dxa"/>
          </w:tcPr>
          <w:p w:rsidR="006C0C0F" w:rsidRPr="00703D12" w:rsidRDefault="006C0C0F" w:rsidP="00421727">
            <w:pPr>
              <w:autoSpaceDN w:val="0"/>
              <w:textAlignment w:val="baseline"/>
            </w:pPr>
            <w:r w:rsidRPr="00703D12">
              <w:rPr>
                <w:kern w:val="3"/>
              </w:rPr>
              <w:t xml:space="preserve">Es besteht eine so hohe Wahrscheinlichkeit, dass keine begründeten Zweifel mehr bestehen. Der </w:t>
            </w:r>
            <w:r w:rsidRPr="00703D12">
              <w:rPr>
                <w:b/>
                <w:kern w:val="3"/>
              </w:rPr>
              <w:t>Vollbeweis</w:t>
            </w:r>
            <w:r w:rsidRPr="00703D12">
              <w:rPr>
                <w:kern w:val="3"/>
              </w:rPr>
              <w:t xml:space="preserve"> ist für </w:t>
            </w:r>
            <w:r w:rsidRPr="00703D12">
              <w:rPr>
                <w:b/>
                <w:kern w:val="3"/>
              </w:rPr>
              <w:t>alle rechtlich relevanten Tatsachen</w:t>
            </w:r>
            <w:r w:rsidRPr="00703D12">
              <w:rPr>
                <w:kern w:val="3"/>
              </w:rPr>
              <w:t xml:space="preserve"> (z.B. Unfallereignis, Unfallschaden) einschließlich der Pro- und Contra-Indizien erforderlich.</w:t>
            </w:r>
          </w:p>
        </w:tc>
      </w:tr>
      <w:tr w:rsidR="006C0C0F" w:rsidRPr="006C0C0F" w:rsidTr="00421727">
        <w:tblPrEx>
          <w:tblCellMar>
            <w:top w:w="0" w:type="dxa"/>
            <w:bottom w:w="0" w:type="dxa"/>
          </w:tblCellMar>
        </w:tblPrEx>
        <w:trPr>
          <w:trHeight w:val="150"/>
        </w:trPr>
        <w:tc>
          <w:tcPr>
            <w:tcW w:w="454" w:type="dxa"/>
          </w:tcPr>
          <w:p w:rsidR="006C0C0F" w:rsidRPr="006C0C0F" w:rsidRDefault="006C0C0F" w:rsidP="00421727"/>
        </w:tc>
        <w:tc>
          <w:tcPr>
            <w:tcW w:w="9526" w:type="dxa"/>
          </w:tcPr>
          <w:p w:rsidR="006C0C0F" w:rsidRPr="006C0C0F" w:rsidRDefault="006C0C0F" w:rsidP="00421727">
            <w:pPr>
              <w:autoSpaceDN w:val="0"/>
              <w:textAlignment w:val="baseline"/>
              <w:rPr>
                <w:kern w:val="3"/>
              </w:rPr>
            </w:pPr>
          </w:p>
        </w:tc>
      </w:tr>
      <w:tr w:rsidR="006C0C0F" w:rsidRPr="00703D12" w:rsidTr="00421727">
        <w:tblPrEx>
          <w:tblCellMar>
            <w:top w:w="0" w:type="dxa"/>
            <w:bottom w:w="0" w:type="dxa"/>
          </w:tblCellMar>
        </w:tblPrEx>
        <w:tc>
          <w:tcPr>
            <w:tcW w:w="9980" w:type="dxa"/>
            <w:gridSpan w:val="2"/>
          </w:tcPr>
          <w:p w:rsidR="006C0C0F" w:rsidRPr="00703D12" w:rsidRDefault="006C0C0F" w:rsidP="00421727">
            <w:pPr>
              <w:suppressAutoHyphens w:val="0"/>
              <w:autoSpaceDN w:val="0"/>
              <w:textAlignment w:val="baseline"/>
              <w:rPr>
                <w:b/>
                <w:bCs/>
                <w:lang w:eastAsia="de-DE"/>
              </w:rPr>
            </w:pPr>
            <w:r w:rsidRPr="00703D12">
              <w:rPr>
                <w:b/>
                <w:bCs/>
              </w:rPr>
              <w:t xml:space="preserve">Wahrscheinlichkeit des Kausalzusammenhangs </w:t>
            </w:r>
          </w:p>
        </w:tc>
      </w:tr>
      <w:tr w:rsidR="006C0C0F" w:rsidRPr="006C0C0F" w:rsidTr="00421727">
        <w:tblPrEx>
          <w:tblCellMar>
            <w:top w:w="0" w:type="dxa"/>
            <w:bottom w:w="0" w:type="dxa"/>
          </w:tblCellMar>
        </w:tblPrEx>
        <w:trPr>
          <w:trHeight w:val="150"/>
        </w:trPr>
        <w:tc>
          <w:tcPr>
            <w:tcW w:w="454" w:type="dxa"/>
          </w:tcPr>
          <w:p w:rsidR="006C0C0F" w:rsidRPr="006C0C0F" w:rsidRDefault="006C0C0F" w:rsidP="00421727"/>
        </w:tc>
        <w:tc>
          <w:tcPr>
            <w:tcW w:w="9526" w:type="dxa"/>
          </w:tcPr>
          <w:p w:rsidR="006C0C0F" w:rsidRPr="006C0C0F" w:rsidRDefault="006C0C0F" w:rsidP="00421727">
            <w:pPr>
              <w:autoSpaceDN w:val="0"/>
              <w:textAlignment w:val="baseline"/>
              <w:rPr>
                <w:kern w:val="3"/>
              </w:rPr>
            </w:pPr>
          </w:p>
        </w:tc>
      </w:tr>
      <w:tr w:rsidR="006C0C0F" w:rsidRPr="00703D12" w:rsidTr="00421727">
        <w:tblPrEx>
          <w:tblCellMar>
            <w:top w:w="0" w:type="dxa"/>
            <w:bottom w:w="0" w:type="dxa"/>
          </w:tblCellMar>
        </w:tblPrEx>
        <w:tc>
          <w:tcPr>
            <w:tcW w:w="454" w:type="dxa"/>
          </w:tcPr>
          <w:p w:rsidR="006C0C0F" w:rsidRPr="00703D12" w:rsidRDefault="006C0C0F" w:rsidP="00421727">
            <w:pPr>
              <w:spacing w:after="240"/>
            </w:pPr>
          </w:p>
        </w:tc>
        <w:tc>
          <w:tcPr>
            <w:tcW w:w="9526" w:type="dxa"/>
          </w:tcPr>
          <w:p w:rsidR="006C0C0F" w:rsidRDefault="006C0C0F" w:rsidP="00421727">
            <w:pPr>
              <w:autoSpaceDN w:val="0"/>
              <w:textAlignment w:val="baseline"/>
            </w:pPr>
            <w:r w:rsidRPr="00703D12">
              <w:t xml:space="preserve">Für den Nachweis der </w:t>
            </w:r>
            <w:r w:rsidRPr="00703D12">
              <w:rPr>
                <w:b/>
              </w:rPr>
              <w:t>Ursachenzusammenhänge</w:t>
            </w:r>
            <w:r w:rsidRPr="00703D12">
              <w:t xml:space="preserve"> genügt die </w:t>
            </w:r>
            <w:r w:rsidRPr="00703D12">
              <w:rPr>
                <w:b/>
              </w:rPr>
              <w:t>hinreichende Wahrscheinlichkeit</w:t>
            </w:r>
            <w:r w:rsidRPr="00703D12">
              <w:t xml:space="preserve">. </w:t>
            </w:r>
          </w:p>
          <w:p w:rsidR="00970C9F" w:rsidRPr="00703D12" w:rsidRDefault="00970C9F" w:rsidP="00421727">
            <w:pPr>
              <w:autoSpaceDN w:val="0"/>
              <w:textAlignment w:val="baseline"/>
            </w:pPr>
          </w:p>
          <w:p w:rsidR="006C0C0F" w:rsidRDefault="006C0C0F" w:rsidP="00421727">
            <w:pPr>
              <w:autoSpaceDN w:val="0"/>
              <w:textAlignment w:val="baseline"/>
            </w:pPr>
            <w:r w:rsidRPr="00703D12">
              <w:lastRenderedPageBreak/>
              <w:t xml:space="preserve">Nach Würdigung aller Umstände und der herrschenden medizinischen Lehrmeinung muss mehr für als dagegen sprechen, dass das Unfallereignis Ursache des Gesundheitsschadens war. Die Abwägung der für und gegen den Kausalzusammenhang sprechenden Tatsachen ist eingehend und nachvollziehbar zu begründen. Der Beweismaßstab der „hinreichenden Wahrscheinlichkeit“ gilt sowohl für den Kausalzusammenhang zwischen Unfallereignis und </w:t>
            </w:r>
            <w:r>
              <w:t>G</w:t>
            </w:r>
            <w:r w:rsidRPr="00703D12">
              <w:t>esundheits</w:t>
            </w:r>
            <w:r w:rsidRPr="00703D12">
              <w:rPr>
                <w:b/>
              </w:rPr>
              <w:t>erst</w:t>
            </w:r>
            <w:r w:rsidRPr="00703D12">
              <w:t>schaden als auch zwischen Gesundheitserstschaden und Gesundheits</w:t>
            </w:r>
            <w:r w:rsidRPr="00703D12">
              <w:rPr>
                <w:b/>
              </w:rPr>
              <w:t>folge</w:t>
            </w:r>
            <w:r w:rsidRPr="00703D12">
              <w:t xml:space="preserve">schaden. </w:t>
            </w:r>
          </w:p>
          <w:p w:rsidR="00970C9F" w:rsidRDefault="00970C9F" w:rsidP="00421727">
            <w:pPr>
              <w:autoSpaceDN w:val="0"/>
              <w:textAlignment w:val="baseline"/>
            </w:pPr>
          </w:p>
          <w:p w:rsidR="006C0C0F" w:rsidRPr="00703D12" w:rsidRDefault="006C0C0F" w:rsidP="00421727">
            <w:pPr>
              <w:autoSpaceDN w:val="0"/>
              <w:textAlignment w:val="baseline"/>
            </w:pPr>
            <w:r w:rsidRPr="00703D12">
              <w:t>Dies gilt aber nur für die Beurteilung des ursächlichen Zusammenhangs selbst, nicht für die Frage des Nachweises der in die Abwägung einfließenden anspruchsbegründenden und anspruchshindernden Tatsachen, für die der Vollbeweis erforderlich ist.</w:t>
            </w:r>
          </w:p>
        </w:tc>
      </w:tr>
      <w:tr w:rsidR="00970C9F" w:rsidRPr="006C0C0F" w:rsidTr="00421727">
        <w:tblPrEx>
          <w:tblCellMar>
            <w:top w:w="0" w:type="dxa"/>
            <w:bottom w:w="0" w:type="dxa"/>
          </w:tblCellMar>
        </w:tblPrEx>
        <w:trPr>
          <w:trHeight w:val="150"/>
        </w:trPr>
        <w:tc>
          <w:tcPr>
            <w:tcW w:w="454" w:type="dxa"/>
          </w:tcPr>
          <w:p w:rsidR="00970C9F" w:rsidRPr="006C0C0F" w:rsidRDefault="00970C9F" w:rsidP="00421727"/>
        </w:tc>
        <w:tc>
          <w:tcPr>
            <w:tcW w:w="9526" w:type="dxa"/>
          </w:tcPr>
          <w:p w:rsidR="00970C9F" w:rsidRPr="006C0C0F" w:rsidRDefault="00970C9F" w:rsidP="00421727">
            <w:pPr>
              <w:autoSpaceDN w:val="0"/>
              <w:textAlignment w:val="baseline"/>
              <w:rPr>
                <w:kern w:val="3"/>
              </w:rPr>
            </w:pPr>
          </w:p>
        </w:tc>
      </w:tr>
    </w:tbl>
    <w:p w:rsidR="00970C9F" w:rsidRDefault="00970C9F">
      <w:r>
        <w:br w:type="page"/>
      </w:r>
    </w:p>
    <w:tbl>
      <w:tblPr>
        <w:tblW w:w="0" w:type="auto"/>
        <w:tblLayout w:type="fixed"/>
        <w:tblCellMar>
          <w:left w:w="70" w:type="dxa"/>
          <w:right w:w="70" w:type="dxa"/>
        </w:tblCellMar>
        <w:tblLook w:val="0000" w:firstRow="0" w:lastRow="0" w:firstColumn="0" w:lastColumn="0" w:noHBand="0" w:noVBand="0"/>
      </w:tblPr>
      <w:tblGrid>
        <w:gridCol w:w="454"/>
        <w:gridCol w:w="9526"/>
      </w:tblGrid>
      <w:tr w:rsidR="006C0C0F" w:rsidRPr="00703D12" w:rsidTr="00421727">
        <w:tblPrEx>
          <w:tblCellMar>
            <w:top w:w="0" w:type="dxa"/>
            <w:bottom w:w="0" w:type="dxa"/>
          </w:tblCellMar>
        </w:tblPrEx>
        <w:tc>
          <w:tcPr>
            <w:tcW w:w="9980" w:type="dxa"/>
            <w:gridSpan w:val="2"/>
          </w:tcPr>
          <w:p w:rsidR="006C0C0F" w:rsidRPr="00703D12" w:rsidRDefault="006C0C0F" w:rsidP="00421727">
            <w:pPr>
              <w:autoSpaceDN w:val="0"/>
              <w:textAlignment w:val="baseline"/>
              <w:rPr>
                <w:kern w:val="3"/>
              </w:rPr>
            </w:pPr>
            <w:r w:rsidRPr="00703D12">
              <w:rPr>
                <w:b/>
                <w:kern w:val="3"/>
              </w:rPr>
              <w:t>Vorschädigung (Schadensanlage oder Vorerkrankung)</w:t>
            </w:r>
          </w:p>
        </w:tc>
      </w:tr>
      <w:tr w:rsidR="00970C9F" w:rsidRPr="006C0C0F" w:rsidTr="00421727">
        <w:tblPrEx>
          <w:tblCellMar>
            <w:top w:w="0" w:type="dxa"/>
            <w:bottom w:w="0" w:type="dxa"/>
          </w:tblCellMar>
        </w:tblPrEx>
        <w:trPr>
          <w:trHeight w:val="150"/>
        </w:trPr>
        <w:tc>
          <w:tcPr>
            <w:tcW w:w="454" w:type="dxa"/>
          </w:tcPr>
          <w:p w:rsidR="00970C9F" w:rsidRPr="006C0C0F" w:rsidRDefault="00970C9F" w:rsidP="00421727"/>
        </w:tc>
        <w:tc>
          <w:tcPr>
            <w:tcW w:w="9526" w:type="dxa"/>
          </w:tcPr>
          <w:p w:rsidR="00970C9F" w:rsidRPr="006C0C0F" w:rsidRDefault="00970C9F" w:rsidP="00421727">
            <w:pPr>
              <w:autoSpaceDN w:val="0"/>
              <w:textAlignment w:val="baseline"/>
              <w:rPr>
                <w:kern w:val="3"/>
              </w:rPr>
            </w:pPr>
          </w:p>
        </w:tc>
      </w:tr>
      <w:tr w:rsidR="006C0C0F" w:rsidRPr="00703D12" w:rsidTr="00421727">
        <w:tblPrEx>
          <w:tblCellMar>
            <w:top w:w="0" w:type="dxa"/>
            <w:bottom w:w="0" w:type="dxa"/>
          </w:tblCellMar>
        </w:tblPrEx>
        <w:tc>
          <w:tcPr>
            <w:tcW w:w="454" w:type="dxa"/>
          </w:tcPr>
          <w:p w:rsidR="006C0C0F" w:rsidRPr="00703D12" w:rsidRDefault="006C0C0F" w:rsidP="00421727">
            <w:pPr>
              <w:spacing w:after="240"/>
            </w:pPr>
          </w:p>
        </w:tc>
        <w:tc>
          <w:tcPr>
            <w:tcW w:w="9526" w:type="dxa"/>
          </w:tcPr>
          <w:p w:rsidR="006C0C0F" w:rsidRPr="00703D12" w:rsidRDefault="006C0C0F" w:rsidP="00421727">
            <w:pPr>
              <w:autoSpaceDN w:val="0"/>
              <w:textAlignment w:val="baseline"/>
            </w:pPr>
            <w:r w:rsidRPr="00703D12">
              <w:rPr>
                <w:kern w:val="3"/>
              </w:rPr>
              <w:t xml:space="preserve">Bei Vorschädigungen ist zwischen einer </w:t>
            </w:r>
            <w:r w:rsidRPr="00703D12">
              <w:rPr>
                <w:b/>
                <w:kern w:val="3"/>
              </w:rPr>
              <w:t>Schadensanlage</w:t>
            </w:r>
            <w:r w:rsidRPr="00703D12">
              <w:rPr>
                <w:kern w:val="3"/>
              </w:rPr>
              <w:t xml:space="preserve"> (klinisch stumme Krankheitsdisposition, die, um krankhaft zu werden, noch eines äußeren Anstoßes bedarf) und einer </w:t>
            </w:r>
            <w:r w:rsidRPr="00703D12">
              <w:rPr>
                <w:b/>
                <w:kern w:val="3"/>
              </w:rPr>
              <w:t>Vorerkrankung</w:t>
            </w:r>
            <w:r w:rsidRPr="00703D12">
              <w:rPr>
                <w:kern w:val="3"/>
              </w:rPr>
              <w:t xml:space="preserve"> (klinisch manifeste Erkrankung, die bereits symptomatisch war, mit oder ohne Behandlungsbedürftigkeit) zu unterscheiden.</w:t>
            </w:r>
          </w:p>
        </w:tc>
      </w:tr>
      <w:tr w:rsidR="00970C9F" w:rsidRPr="006C0C0F" w:rsidTr="00421727">
        <w:tblPrEx>
          <w:tblCellMar>
            <w:top w:w="0" w:type="dxa"/>
            <w:bottom w:w="0" w:type="dxa"/>
          </w:tblCellMar>
        </w:tblPrEx>
        <w:trPr>
          <w:trHeight w:val="150"/>
        </w:trPr>
        <w:tc>
          <w:tcPr>
            <w:tcW w:w="454" w:type="dxa"/>
          </w:tcPr>
          <w:p w:rsidR="00970C9F" w:rsidRPr="006C0C0F" w:rsidRDefault="00970C9F" w:rsidP="00421727"/>
        </w:tc>
        <w:tc>
          <w:tcPr>
            <w:tcW w:w="9526" w:type="dxa"/>
          </w:tcPr>
          <w:p w:rsidR="00970C9F" w:rsidRPr="006C0C0F" w:rsidRDefault="00970C9F" w:rsidP="00421727">
            <w:pPr>
              <w:autoSpaceDN w:val="0"/>
              <w:textAlignment w:val="baseline"/>
              <w:rPr>
                <w:kern w:val="3"/>
              </w:rPr>
            </w:pPr>
          </w:p>
        </w:tc>
      </w:tr>
      <w:tr w:rsidR="006C0C0F" w:rsidRPr="00703D12" w:rsidTr="00421727">
        <w:tblPrEx>
          <w:tblCellMar>
            <w:top w:w="0" w:type="dxa"/>
            <w:bottom w:w="0" w:type="dxa"/>
          </w:tblCellMar>
        </w:tblPrEx>
        <w:tc>
          <w:tcPr>
            <w:tcW w:w="9980" w:type="dxa"/>
            <w:gridSpan w:val="2"/>
          </w:tcPr>
          <w:p w:rsidR="006C0C0F" w:rsidRPr="00703D12" w:rsidRDefault="006C0C0F" w:rsidP="00421727">
            <w:pPr>
              <w:autoSpaceDN w:val="0"/>
              <w:textAlignment w:val="baseline"/>
              <w:rPr>
                <w:b/>
                <w:kern w:val="3"/>
              </w:rPr>
            </w:pPr>
            <w:r w:rsidRPr="00703D12">
              <w:rPr>
                <w:b/>
                <w:kern w:val="3"/>
              </w:rPr>
              <w:t>Kausalität bei Schadensanlage oder Vorerkrankung</w:t>
            </w:r>
          </w:p>
        </w:tc>
      </w:tr>
      <w:tr w:rsidR="00970C9F" w:rsidRPr="006C0C0F" w:rsidTr="00421727">
        <w:tblPrEx>
          <w:tblCellMar>
            <w:top w:w="0" w:type="dxa"/>
            <w:bottom w:w="0" w:type="dxa"/>
          </w:tblCellMar>
        </w:tblPrEx>
        <w:trPr>
          <w:trHeight w:val="150"/>
        </w:trPr>
        <w:tc>
          <w:tcPr>
            <w:tcW w:w="454" w:type="dxa"/>
          </w:tcPr>
          <w:p w:rsidR="00970C9F" w:rsidRPr="006C0C0F" w:rsidRDefault="00970C9F" w:rsidP="00421727"/>
        </w:tc>
        <w:tc>
          <w:tcPr>
            <w:tcW w:w="9526" w:type="dxa"/>
          </w:tcPr>
          <w:p w:rsidR="00970C9F" w:rsidRPr="006C0C0F" w:rsidRDefault="00970C9F" w:rsidP="00421727">
            <w:pPr>
              <w:autoSpaceDN w:val="0"/>
              <w:textAlignment w:val="baseline"/>
              <w:rPr>
                <w:kern w:val="3"/>
              </w:rPr>
            </w:pPr>
          </w:p>
        </w:tc>
      </w:tr>
      <w:tr w:rsidR="006C0C0F" w:rsidRPr="00703D12" w:rsidTr="00421727">
        <w:tblPrEx>
          <w:tblCellMar>
            <w:top w:w="0" w:type="dxa"/>
            <w:bottom w:w="0" w:type="dxa"/>
          </w:tblCellMar>
        </w:tblPrEx>
        <w:tc>
          <w:tcPr>
            <w:tcW w:w="454" w:type="dxa"/>
          </w:tcPr>
          <w:p w:rsidR="006C0C0F" w:rsidRPr="00703D12" w:rsidRDefault="006C0C0F" w:rsidP="00421727">
            <w:pPr>
              <w:spacing w:after="240"/>
            </w:pPr>
          </w:p>
        </w:tc>
        <w:tc>
          <w:tcPr>
            <w:tcW w:w="9526" w:type="dxa"/>
          </w:tcPr>
          <w:p w:rsidR="00970C9F" w:rsidRDefault="006C0C0F" w:rsidP="00421727">
            <w:pPr>
              <w:autoSpaceDN w:val="0"/>
              <w:textAlignment w:val="baseline"/>
              <w:rPr>
                <w:kern w:val="3"/>
              </w:rPr>
            </w:pPr>
            <w:r w:rsidRPr="00703D12">
              <w:rPr>
                <w:kern w:val="3"/>
              </w:rPr>
              <w:t xml:space="preserve">Besteht als konkurrierende Ursache eine </w:t>
            </w:r>
            <w:r w:rsidRPr="00703D12">
              <w:rPr>
                <w:b/>
                <w:kern w:val="3"/>
              </w:rPr>
              <w:t>Schadensanlage</w:t>
            </w:r>
            <w:r w:rsidRPr="00703D12">
              <w:rPr>
                <w:kern w:val="3"/>
              </w:rPr>
              <w:t xml:space="preserve">, geht es bei der Kausalitätsprüfung um die Abwägung, ob das Unfallereignis für den Gesundheitsschaden rechtlich wesentlich war. </w:t>
            </w:r>
          </w:p>
          <w:p w:rsidR="00970C9F" w:rsidRDefault="00970C9F" w:rsidP="00421727">
            <w:pPr>
              <w:autoSpaceDN w:val="0"/>
              <w:textAlignment w:val="baseline"/>
              <w:rPr>
                <w:kern w:val="3"/>
              </w:rPr>
            </w:pPr>
          </w:p>
          <w:p w:rsidR="006C0C0F" w:rsidRDefault="006C0C0F" w:rsidP="00421727">
            <w:pPr>
              <w:autoSpaceDN w:val="0"/>
              <w:textAlignment w:val="baseline"/>
              <w:rPr>
                <w:kern w:val="3"/>
              </w:rPr>
            </w:pPr>
            <w:r w:rsidRPr="00703D12">
              <w:rPr>
                <w:kern w:val="3"/>
              </w:rPr>
              <w:t>Es gilt das „Alles oder Nichts-Prinzip“. Ist das Unfallereignis die rechtlich wesentliche Ursache für den Gesundheitserstschaden, besteht für den gesamten Gesundheitsschaden, einschließlich der Schadensanlage, Anspruch auf die g</w:t>
            </w:r>
            <w:r w:rsidR="00EE2E67">
              <w:rPr>
                <w:kern w:val="3"/>
              </w:rPr>
              <w:t>esetzlichen Leistungen.</w:t>
            </w:r>
          </w:p>
          <w:p w:rsidR="00970C9F" w:rsidRDefault="00970C9F" w:rsidP="00421727">
            <w:pPr>
              <w:autoSpaceDN w:val="0"/>
              <w:textAlignment w:val="baseline"/>
              <w:rPr>
                <w:kern w:val="3"/>
              </w:rPr>
            </w:pPr>
          </w:p>
          <w:p w:rsidR="00EE2E67" w:rsidRDefault="006C0C0F" w:rsidP="00421727">
            <w:pPr>
              <w:autoSpaceDN w:val="0"/>
              <w:textAlignment w:val="baseline"/>
              <w:rPr>
                <w:kern w:val="3"/>
              </w:rPr>
            </w:pPr>
            <w:r w:rsidRPr="00703D12">
              <w:rPr>
                <w:kern w:val="3"/>
              </w:rPr>
              <w:t xml:space="preserve">War hingegen die Schadensanlage bereits so weit fortgeschritten, dass mit dem Eintritt des Gesundheitsschadens bei jeder alltäglich vorkommenden Verrichtung in etwa zur selben Zeit oder in naher Zukunft in demselben Ausmaß zu rechnen war, ist das Unfallereignis lediglich eine unwesentliche (Teil-)Ursache. </w:t>
            </w:r>
          </w:p>
          <w:p w:rsidR="00EE2E67" w:rsidRDefault="00EE2E67" w:rsidP="00421727">
            <w:pPr>
              <w:autoSpaceDN w:val="0"/>
              <w:textAlignment w:val="baseline"/>
              <w:rPr>
                <w:kern w:val="3"/>
              </w:rPr>
            </w:pPr>
          </w:p>
          <w:p w:rsidR="006C0C0F" w:rsidRPr="00703D12" w:rsidRDefault="006C0C0F" w:rsidP="00421727">
            <w:pPr>
              <w:autoSpaceDN w:val="0"/>
              <w:textAlignment w:val="baseline"/>
            </w:pPr>
            <w:r w:rsidRPr="00703D12">
              <w:rPr>
                <w:kern w:val="3"/>
              </w:rPr>
              <w:t xml:space="preserve">Lag zum Unfallzeitpunkt eine </w:t>
            </w:r>
            <w:r w:rsidRPr="00703D12">
              <w:rPr>
                <w:b/>
                <w:kern w:val="3"/>
              </w:rPr>
              <w:t>Vorerkrankung</w:t>
            </w:r>
            <w:r w:rsidRPr="00703D12">
              <w:rPr>
                <w:kern w:val="3"/>
              </w:rPr>
              <w:t xml:space="preserve"> vor, ist nur zu diskutieren, ob das Unfallereignis diese Vorerkrankung rechtlich wesentlich (vorübergehend oder dauerhaft) verschlimmert hat. Nur dieser Verschlimmerungsanteil wird von der Unfallversicherung entschädigt.</w:t>
            </w:r>
          </w:p>
        </w:tc>
      </w:tr>
    </w:tbl>
    <w:p w:rsidR="006C0C0F" w:rsidRDefault="006C0C0F" w:rsidP="006C0C0F"/>
    <w:p w:rsidR="00091CB9" w:rsidRPr="00062081" w:rsidRDefault="00091CB9" w:rsidP="00E9276D"/>
    <w:sectPr w:rsidR="00091CB9" w:rsidRPr="00062081">
      <w:headerReference w:type="default" r:id="rId12"/>
      <w:footerReference w:type="default" r:id="rId13"/>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B5A" w:rsidRDefault="00995B5A">
      <w:r>
        <w:separator/>
      </w:r>
    </w:p>
  </w:endnote>
  <w:endnote w:type="continuationSeparator" w:id="0">
    <w:p w:rsidR="00995B5A" w:rsidRDefault="0099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412"/>
      <w:gridCol w:w="567"/>
    </w:tblGrid>
    <w:tr w:rsidR="007B13D1" w:rsidRPr="00233E61">
      <w:tblPrEx>
        <w:tblCellMar>
          <w:top w:w="0" w:type="dxa"/>
          <w:bottom w:w="0" w:type="dxa"/>
        </w:tblCellMar>
      </w:tblPrEx>
      <w:tc>
        <w:tcPr>
          <w:tcW w:w="9412" w:type="dxa"/>
        </w:tcPr>
        <w:p w:rsidR="007B13D1" w:rsidRPr="00233E61" w:rsidRDefault="007B13D1">
          <w:pPr>
            <w:pStyle w:val="Fuzeile"/>
            <w:tabs>
              <w:tab w:val="clear" w:pos="4536"/>
              <w:tab w:val="clear" w:pos="9072"/>
              <w:tab w:val="right" w:pos="9781"/>
            </w:tabs>
            <w:spacing w:before="80"/>
          </w:pPr>
          <w:fldSimple w:instr=" DOCPROPERTY &quot;Formtext&quot; \* MERGEFORMAT ">
            <w:r w:rsidR="00EE2E67">
              <w:t>F 9000</w:t>
            </w:r>
          </w:fldSimple>
          <w:r w:rsidRPr="00233E61">
            <w:t xml:space="preserve"> </w:t>
          </w:r>
          <w:r w:rsidRPr="00233E61">
            <w:rPr>
              <w:sz w:val="14"/>
            </w:rPr>
            <w:fldChar w:fldCharType="begin"/>
          </w:r>
          <w:r w:rsidRPr="00233E61">
            <w:rPr>
              <w:sz w:val="14"/>
            </w:rPr>
            <w:instrText xml:space="preserve"> DOCPROPERTY "Stand"  \* MERGEFORMAT </w:instrText>
          </w:r>
          <w:r w:rsidRPr="00233E61">
            <w:rPr>
              <w:sz w:val="14"/>
            </w:rPr>
            <w:fldChar w:fldCharType="separate"/>
          </w:r>
          <w:r w:rsidR="00EE2E67">
            <w:rPr>
              <w:sz w:val="14"/>
            </w:rPr>
            <w:t>1115</w:t>
          </w:r>
          <w:r w:rsidRPr="00233E61">
            <w:rPr>
              <w:sz w:val="14"/>
            </w:rPr>
            <w:fldChar w:fldCharType="end"/>
          </w:r>
          <w:r w:rsidRPr="00233E61">
            <w:rPr>
              <w:sz w:val="14"/>
            </w:rPr>
            <w:t xml:space="preserve"> </w:t>
          </w:r>
          <w:r w:rsidRPr="00233E61">
            <w:rPr>
              <w:sz w:val="14"/>
            </w:rPr>
            <w:fldChar w:fldCharType="begin"/>
          </w:r>
          <w:r w:rsidRPr="00233E61">
            <w:rPr>
              <w:sz w:val="14"/>
            </w:rPr>
            <w:instrText xml:space="preserve"> DOCPROPERTY "Comments"  \* MERGEFORMAT </w:instrText>
          </w:r>
          <w:r w:rsidR="0078307A">
            <w:rPr>
              <w:sz w:val="14"/>
            </w:rPr>
            <w:fldChar w:fldCharType="separate"/>
          </w:r>
          <w:r w:rsidR="00EE2E67">
            <w:rPr>
              <w:b/>
              <w:bCs/>
              <w:sz w:val="14"/>
            </w:rPr>
            <w:t>Fehler! Unbekannter Name für Dokument-Eigenschaft.</w:t>
          </w:r>
          <w:r w:rsidRPr="00233E61">
            <w:rPr>
              <w:sz w:val="14"/>
            </w:rPr>
            <w:fldChar w:fldCharType="end"/>
          </w:r>
          <w:r w:rsidRPr="00233E61">
            <w:rPr>
              <w:sz w:val="14"/>
            </w:rPr>
            <w:fldChar w:fldCharType="begin"/>
          </w:r>
          <w:r w:rsidRPr="00233E61">
            <w:rPr>
              <w:sz w:val="14"/>
            </w:rPr>
            <w:instrText xml:space="preserve"> DOCPROPERTY "Comments"  \* MERGEFORMAT </w:instrText>
          </w:r>
          <w:r w:rsidR="0078307A">
            <w:rPr>
              <w:sz w:val="14"/>
            </w:rPr>
            <w:fldChar w:fldCharType="separate"/>
          </w:r>
          <w:r w:rsidR="00EE2E67">
            <w:rPr>
              <w:b/>
              <w:bCs/>
              <w:sz w:val="14"/>
            </w:rPr>
            <w:t>Fehler! Unbekannter Name für Dokument-Eigenschaft.</w:t>
          </w:r>
          <w:r w:rsidRPr="00233E61">
            <w:rPr>
              <w:sz w:val="14"/>
            </w:rPr>
            <w:fldChar w:fldCharType="end"/>
          </w:r>
        </w:p>
      </w:tc>
      <w:tc>
        <w:tcPr>
          <w:tcW w:w="567" w:type="dxa"/>
        </w:tcPr>
        <w:p w:rsidR="007B13D1" w:rsidRPr="00233E61" w:rsidRDefault="007B13D1">
          <w:pPr>
            <w:pStyle w:val="Fuzeile"/>
            <w:tabs>
              <w:tab w:val="clear" w:pos="4536"/>
              <w:tab w:val="clear" w:pos="9072"/>
              <w:tab w:val="right" w:pos="9781"/>
            </w:tabs>
            <w:spacing w:before="80"/>
            <w:jc w:val="right"/>
          </w:pPr>
          <w:r w:rsidRPr="00233E61">
            <w:fldChar w:fldCharType="begin"/>
          </w:r>
          <w:r w:rsidRPr="00233E61">
            <w:instrText xml:space="preserve">IF </w:instrText>
          </w:r>
          <w:r w:rsidRPr="00233E61">
            <w:fldChar w:fldCharType="begin"/>
          </w:r>
          <w:r w:rsidRPr="00233E61">
            <w:instrText>=</w:instrText>
          </w:r>
          <w:r w:rsidRPr="00233E61">
            <w:fldChar w:fldCharType="begin"/>
          </w:r>
          <w:r w:rsidRPr="00233E61">
            <w:instrText>NUMPAGES</w:instrText>
          </w:r>
          <w:r w:rsidRPr="00233E61">
            <w:fldChar w:fldCharType="separate"/>
          </w:r>
          <w:r w:rsidR="00EE2E67">
            <w:rPr>
              <w:noProof/>
            </w:rPr>
            <w:instrText>2</w:instrText>
          </w:r>
          <w:r w:rsidRPr="00233E61">
            <w:fldChar w:fldCharType="end"/>
          </w:r>
          <w:r w:rsidRPr="00233E61">
            <w:instrText xml:space="preserve"> - </w:instrText>
          </w:r>
          <w:r w:rsidRPr="00233E61">
            <w:fldChar w:fldCharType="begin"/>
          </w:r>
          <w:r w:rsidRPr="00233E61">
            <w:instrText>PAGE</w:instrText>
          </w:r>
          <w:r w:rsidRPr="00233E61">
            <w:fldChar w:fldCharType="separate"/>
          </w:r>
          <w:r>
            <w:rPr>
              <w:noProof/>
            </w:rPr>
            <w:instrText>2</w:instrText>
          </w:r>
          <w:r w:rsidRPr="00233E61">
            <w:fldChar w:fldCharType="end"/>
          </w:r>
          <w:r w:rsidRPr="00233E61">
            <w:instrText xml:space="preserve"> </w:instrText>
          </w:r>
          <w:r w:rsidRPr="00233E61">
            <w:fldChar w:fldCharType="separate"/>
          </w:r>
          <w:r w:rsidR="00EE2E67">
            <w:rPr>
              <w:noProof/>
            </w:rPr>
            <w:instrText>0</w:instrText>
          </w:r>
          <w:r w:rsidRPr="00233E61">
            <w:fldChar w:fldCharType="end"/>
          </w:r>
          <w:r w:rsidRPr="00233E61">
            <w:instrText xml:space="preserve"> &gt; 0 "..."</w:instrText>
          </w:r>
          <w:r w:rsidRPr="00233E61">
            <w:fldChar w:fldCharType="end"/>
          </w:r>
        </w:p>
      </w:tc>
    </w:tr>
  </w:tbl>
  <w:p w:rsidR="007B13D1" w:rsidRDefault="007B13D1">
    <w:pPr>
      <w:pStyle w:val="Fuzeile"/>
      <w:tabs>
        <w:tab w:val="clear" w:pos="4536"/>
        <w:tab w:val="clear" w:pos="9072"/>
        <w:tab w:val="right" w:pos="9781"/>
      </w:tabs>
      <w:spacing w:before="80"/>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412"/>
      <w:gridCol w:w="567"/>
    </w:tblGrid>
    <w:tr w:rsidR="007B13D1" w:rsidRPr="00233E61">
      <w:tblPrEx>
        <w:tblCellMar>
          <w:top w:w="0" w:type="dxa"/>
          <w:bottom w:w="0" w:type="dxa"/>
        </w:tblCellMar>
      </w:tblPrEx>
      <w:tc>
        <w:tcPr>
          <w:tcW w:w="9412" w:type="dxa"/>
        </w:tcPr>
        <w:p w:rsidR="007B13D1" w:rsidRPr="008A00A8" w:rsidRDefault="007B13D1" w:rsidP="00496D0A">
          <w:pPr>
            <w:pStyle w:val="StandLangbezeichnung7pt"/>
            <w:rPr>
              <w:sz w:val="20"/>
            </w:rPr>
          </w:pPr>
          <w:r w:rsidRPr="00496D0A">
            <w:rPr>
              <w:rStyle w:val="KurznameimFu10pt"/>
            </w:rPr>
            <w:fldChar w:fldCharType="begin"/>
          </w:r>
          <w:r w:rsidRPr="00496D0A">
            <w:rPr>
              <w:rStyle w:val="KurznameimFu10pt"/>
            </w:rPr>
            <w:instrText xml:space="preserve"> DOCPROPERTY "Formtext" \* MERGEFORMAT </w:instrText>
          </w:r>
          <w:r w:rsidRPr="00496D0A">
            <w:rPr>
              <w:rStyle w:val="KurznameimFu10pt"/>
            </w:rPr>
            <w:fldChar w:fldCharType="separate"/>
          </w:r>
          <w:r w:rsidR="00EE2E67">
            <w:rPr>
              <w:rStyle w:val="KurznameimFu10pt"/>
            </w:rPr>
            <w:t>F 9000</w:t>
          </w:r>
          <w:r w:rsidRPr="00496D0A">
            <w:rPr>
              <w:rStyle w:val="KurznameimFu10pt"/>
            </w:rPr>
            <w:fldChar w:fldCharType="end"/>
          </w:r>
          <w:r w:rsidRPr="00496D0A">
            <w:rPr>
              <w:rStyle w:val="KurznameimFu10pt"/>
            </w:rPr>
            <w:t xml:space="preserve"> </w:t>
          </w:r>
          <w:fldSimple w:instr=" DOCPROPERTY &quot;Stand&quot;  \* MERGEFORMAT ">
            <w:r w:rsidR="00EE2E67">
              <w:t>1115</w:t>
            </w:r>
          </w:fldSimple>
          <w:r w:rsidRPr="008A00A8">
            <w:t xml:space="preserve"> </w:t>
          </w:r>
          <w:fldSimple w:instr=" DOCPROPERTY &quot;Bezeichnung&quot;  \* MERGEFORMAT ">
            <w:r w:rsidR="00EE2E67">
              <w:t>Kausalitäts- und Beweisgrundsätze der gesetzlichen Unfallversicherung</w:t>
            </w:r>
          </w:fldSimple>
        </w:p>
      </w:tc>
      <w:tc>
        <w:tcPr>
          <w:tcW w:w="567" w:type="dxa"/>
        </w:tcPr>
        <w:p w:rsidR="007B13D1" w:rsidRPr="008A00A8" w:rsidRDefault="007B13D1" w:rsidP="00496D0A">
          <w:pPr>
            <w:pStyle w:val="Folgeseitenhinweis10ptrechtsbndig"/>
          </w:pPr>
          <w:r w:rsidRPr="008A00A8">
            <w:fldChar w:fldCharType="begin"/>
          </w:r>
          <w:r w:rsidRPr="008A00A8">
            <w:instrText xml:space="preserve">IF </w:instrText>
          </w:r>
          <w:r w:rsidRPr="008A00A8">
            <w:fldChar w:fldCharType="begin"/>
          </w:r>
          <w:r w:rsidRPr="008A00A8">
            <w:instrText>=</w:instrText>
          </w:r>
          <w:r w:rsidRPr="008A00A8">
            <w:fldChar w:fldCharType="begin"/>
          </w:r>
          <w:r w:rsidRPr="008A00A8">
            <w:instrText>NUMPAGES</w:instrText>
          </w:r>
          <w:r w:rsidRPr="008A00A8">
            <w:fldChar w:fldCharType="separate"/>
          </w:r>
          <w:r w:rsidR="009513FB">
            <w:rPr>
              <w:noProof/>
            </w:rPr>
            <w:instrText>2</w:instrText>
          </w:r>
          <w:r w:rsidRPr="008A00A8">
            <w:fldChar w:fldCharType="end"/>
          </w:r>
          <w:r w:rsidRPr="008A00A8">
            <w:instrText xml:space="preserve"> - </w:instrText>
          </w:r>
          <w:r w:rsidRPr="008A00A8">
            <w:fldChar w:fldCharType="begin"/>
          </w:r>
          <w:r w:rsidRPr="008A00A8">
            <w:instrText>PAGE</w:instrText>
          </w:r>
          <w:r w:rsidRPr="008A00A8">
            <w:fldChar w:fldCharType="separate"/>
          </w:r>
          <w:r w:rsidR="009513FB">
            <w:rPr>
              <w:noProof/>
            </w:rPr>
            <w:instrText>1</w:instrText>
          </w:r>
          <w:r w:rsidRPr="008A00A8">
            <w:fldChar w:fldCharType="end"/>
          </w:r>
          <w:r w:rsidRPr="008A00A8">
            <w:instrText xml:space="preserve"> </w:instrText>
          </w:r>
          <w:r w:rsidRPr="008A00A8">
            <w:fldChar w:fldCharType="separate"/>
          </w:r>
          <w:r w:rsidR="009513FB">
            <w:rPr>
              <w:noProof/>
            </w:rPr>
            <w:instrText>1</w:instrText>
          </w:r>
          <w:r w:rsidRPr="008A00A8">
            <w:fldChar w:fldCharType="end"/>
          </w:r>
          <w:r w:rsidRPr="008A00A8">
            <w:instrText xml:space="preserve"> &gt; 0 "..."</w:instrText>
          </w:r>
          <w:r w:rsidR="009513FB">
            <w:fldChar w:fldCharType="separate"/>
          </w:r>
          <w:r w:rsidR="009513FB" w:rsidRPr="008A00A8">
            <w:rPr>
              <w:noProof/>
            </w:rPr>
            <w:t>...</w:t>
          </w:r>
          <w:r w:rsidRPr="008A00A8">
            <w:fldChar w:fldCharType="end"/>
          </w:r>
        </w:p>
      </w:tc>
    </w:tr>
  </w:tbl>
  <w:p w:rsidR="007B13D1" w:rsidRDefault="007B13D1">
    <w:pPr>
      <w:pStyle w:val="Fuzeile"/>
      <w:tabs>
        <w:tab w:val="clear" w:pos="4536"/>
        <w:tab w:val="clear" w:pos="9072"/>
        <w:tab w:val="right" w:pos="9781"/>
      </w:tabs>
      <w:spacing w:before="80"/>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412"/>
      <w:gridCol w:w="567"/>
    </w:tblGrid>
    <w:tr w:rsidR="007B13D1" w:rsidRPr="00233E61">
      <w:tblPrEx>
        <w:tblCellMar>
          <w:top w:w="0" w:type="dxa"/>
          <w:bottom w:w="0" w:type="dxa"/>
        </w:tblCellMar>
      </w:tblPrEx>
      <w:tc>
        <w:tcPr>
          <w:tcW w:w="9412" w:type="dxa"/>
        </w:tcPr>
        <w:p w:rsidR="007B13D1" w:rsidRPr="008A00A8" w:rsidRDefault="007B13D1" w:rsidP="00496D0A">
          <w:pPr>
            <w:pStyle w:val="StandLangbezeichnung7pt"/>
            <w:rPr>
              <w:sz w:val="20"/>
            </w:rPr>
          </w:pPr>
          <w:r w:rsidRPr="00496D0A">
            <w:rPr>
              <w:rStyle w:val="KurznameimFu10pt"/>
            </w:rPr>
            <w:fldChar w:fldCharType="begin"/>
          </w:r>
          <w:r w:rsidRPr="00496D0A">
            <w:rPr>
              <w:rStyle w:val="KurznameimFu10pt"/>
            </w:rPr>
            <w:instrText xml:space="preserve"> DOCPROPERTY "Formtext" \* MERGEFORMAT </w:instrText>
          </w:r>
          <w:r w:rsidRPr="00496D0A">
            <w:rPr>
              <w:rStyle w:val="KurznameimFu10pt"/>
            </w:rPr>
            <w:fldChar w:fldCharType="separate"/>
          </w:r>
          <w:r w:rsidR="00EE2E67">
            <w:rPr>
              <w:rStyle w:val="KurznameimFu10pt"/>
            </w:rPr>
            <w:t>F 9000</w:t>
          </w:r>
          <w:r w:rsidRPr="00496D0A">
            <w:rPr>
              <w:rStyle w:val="KurznameimFu10pt"/>
            </w:rPr>
            <w:fldChar w:fldCharType="end"/>
          </w:r>
          <w:r w:rsidRPr="00496D0A">
            <w:rPr>
              <w:rStyle w:val="KurznameimFu10pt"/>
            </w:rPr>
            <w:t xml:space="preserve"> </w:t>
          </w:r>
          <w:fldSimple w:instr=" DOCPROPERTY &quot;Stand&quot;  \* MERGEFORMAT ">
            <w:r w:rsidR="00EE2E67">
              <w:t>1115</w:t>
            </w:r>
          </w:fldSimple>
          <w:r w:rsidRPr="008A00A8">
            <w:t xml:space="preserve"> </w:t>
          </w:r>
          <w:fldSimple w:instr=" DOCPROPERTY &quot;Bezeichnung&quot;  \* MERGEFORMAT ">
            <w:r w:rsidR="00EE2E67">
              <w:t>Kausalitäts- und Beweisgrundsätze der gesetzlichen Unfallversicherung</w:t>
            </w:r>
          </w:fldSimple>
        </w:p>
      </w:tc>
      <w:tc>
        <w:tcPr>
          <w:tcW w:w="567" w:type="dxa"/>
        </w:tcPr>
        <w:p w:rsidR="007B13D1" w:rsidRPr="008A00A8" w:rsidRDefault="007B13D1" w:rsidP="00496D0A">
          <w:pPr>
            <w:pStyle w:val="Folgeseitenhinweis10ptrechtsbndig"/>
          </w:pPr>
          <w:r w:rsidRPr="008A00A8">
            <w:fldChar w:fldCharType="begin"/>
          </w:r>
          <w:r w:rsidRPr="008A00A8">
            <w:instrText xml:space="preserve">IF </w:instrText>
          </w:r>
          <w:r w:rsidRPr="008A00A8">
            <w:fldChar w:fldCharType="begin"/>
          </w:r>
          <w:r w:rsidRPr="008A00A8">
            <w:instrText>=</w:instrText>
          </w:r>
          <w:r w:rsidRPr="008A00A8">
            <w:fldChar w:fldCharType="begin"/>
          </w:r>
          <w:r w:rsidRPr="008A00A8">
            <w:instrText>NUMPAGES</w:instrText>
          </w:r>
          <w:r w:rsidRPr="008A00A8">
            <w:fldChar w:fldCharType="separate"/>
          </w:r>
          <w:r w:rsidR="009513FB">
            <w:rPr>
              <w:noProof/>
            </w:rPr>
            <w:instrText>2</w:instrText>
          </w:r>
          <w:r w:rsidRPr="008A00A8">
            <w:fldChar w:fldCharType="end"/>
          </w:r>
          <w:r w:rsidRPr="008A00A8">
            <w:instrText xml:space="preserve"> - </w:instrText>
          </w:r>
          <w:r w:rsidRPr="008A00A8">
            <w:fldChar w:fldCharType="begin"/>
          </w:r>
          <w:r w:rsidRPr="008A00A8">
            <w:instrText>PAGE</w:instrText>
          </w:r>
          <w:r w:rsidRPr="008A00A8">
            <w:fldChar w:fldCharType="separate"/>
          </w:r>
          <w:r w:rsidR="009513FB">
            <w:rPr>
              <w:noProof/>
            </w:rPr>
            <w:instrText>2</w:instrText>
          </w:r>
          <w:r w:rsidRPr="008A00A8">
            <w:fldChar w:fldCharType="end"/>
          </w:r>
          <w:r w:rsidRPr="008A00A8">
            <w:instrText xml:space="preserve"> </w:instrText>
          </w:r>
          <w:r w:rsidRPr="008A00A8">
            <w:fldChar w:fldCharType="separate"/>
          </w:r>
          <w:r w:rsidR="009513FB">
            <w:rPr>
              <w:noProof/>
            </w:rPr>
            <w:instrText>0</w:instrText>
          </w:r>
          <w:r w:rsidRPr="008A00A8">
            <w:fldChar w:fldCharType="end"/>
          </w:r>
          <w:r w:rsidRPr="008A00A8">
            <w:instrText xml:space="preserve"> &gt; 0 "..."</w:instrText>
          </w:r>
          <w:r w:rsidRPr="008A00A8">
            <w:fldChar w:fldCharType="end"/>
          </w:r>
        </w:p>
      </w:tc>
    </w:tr>
  </w:tbl>
  <w:p w:rsidR="007B13D1" w:rsidRDefault="007B13D1">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B5A" w:rsidRDefault="00995B5A">
      <w:r>
        <w:separator/>
      </w:r>
    </w:p>
  </w:footnote>
  <w:footnote w:type="continuationSeparator" w:id="0">
    <w:p w:rsidR="00995B5A" w:rsidRDefault="0099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D1" w:rsidRDefault="007B13D1">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D1" w:rsidRPr="008A00A8" w:rsidRDefault="007B13D1" w:rsidP="00496D0A">
    <w:pPr>
      <w:pStyle w:val="Kopfzeile10ptzentriert"/>
    </w:pPr>
    <w:r w:rsidRPr="008A00A8">
      <w:t xml:space="preserve">- </w:t>
    </w:r>
    <w:r w:rsidRPr="008A00A8">
      <w:fldChar w:fldCharType="begin"/>
    </w:r>
    <w:r w:rsidRPr="008A00A8">
      <w:instrText xml:space="preserve"> PAGE </w:instrText>
    </w:r>
    <w:r w:rsidRPr="008A00A8">
      <w:fldChar w:fldCharType="separate"/>
    </w:r>
    <w:r w:rsidR="009513FB">
      <w:rPr>
        <w:noProof/>
      </w:rPr>
      <w:t>2</w:t>
    </w:r>
    <w:r w:rsidRPr="008A00A8">
      <w:fldChar w:fldCharType="end"/>
    </w:r>
    <w:r w:rsidRPr="008A00A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36D"/>
    <w:multiLevelType w:val="hybridMultilevel"/>
    <w:tmpl w:val="7E864D28"/>
    <w:lvl w:ilvl="0" w:tplc="B572571E">
      <w:start w:val="1"/>
      <w:numFmt w:val="bullet"/>
      <w:lvlText w:val=""/>
      <w:lvlJc w:val="left"/>
      <w:pPr>
        <w:ind w:left="64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pm_id" w:val="0"/>
  </w:docVars>
  <w:rsids>
    <w:rsidRoot w:val="005D3EE3"/>
    <w:rsid w:val="00000224"/>
    <w:rsid w:val="000018EF"/>
    <w:rsid w:val="0001037A"/>
    <w:rsid w:val="0001298B"/>
    <w:rsid w:val="00016C48"/>
    <w:rsid w:val="00034752"/>
    <w:rsid w:val="00044F36"/>
    <w:rsid w:val="00062081"/>
    <w:rsid w:val="00064BBC"/>
    <w:rsid w:val="00091CB9"/>
    <w:rsid w:val="000922C9"/>
    <w:rsid w:val="000953C9"/>
    <w:rsid w:val="000D6AC0"/>
    <w:rsid w:val="000F00FA"/>
    <w:rsid w:val="001158F5"/>
    <w:rsid w:val="00117A88"/>
    <w:rsid w:val="00166529"/>
    <w:rsid w:val="0016698B"/>
    <w:rsid w:val="0019122E"/>
    <w:rsid w:val="001D5D72"/>
    <w:rsid w:val="001F4771"/>
    <w:rsid w:val="00203012"/>
    <w:rsid w:val="00233E61"/>
    <w:rsid w:val="0028308A"/>
    <w:rsid w:val="002943AA"/>
    <w:rsid w:val="00305080"/>
    <w:rsid w:val="003130F4"/>
    <w:rsid w:val="00314DBA"/>
    <w:rsid w:val="00332B8D"/>
    <w:rsid w:val="00334E53"/>
    <w:rsid w:val="00351BAE"/>
    <w:rsid w:val="00360D03"/>
    <w:rsid w:val="003704F5"/>
    <w:rsid w:val="003852F9"/>
    <w:rsid w:val="00397328"/>
    <w:rsid w:val="003D3A4F"/>
    <w:rsid w:val="00403458"/>
    <w:rsid w:val="00421727"/>
    <w:rsid w:val="0043652F"/>
    <w:rsid w:val="00442B0B"/>
    <w:rsid w:val="00447413"/>
    <w:rsid w:val="00454BF0"/>
    <w:rsid w:val="0046027D"/>
    <w:rsid w:val="00470D55"/>
    <w:rsid w:val="00474F25"/>
    <w:rsid w:val="004762DB"/>
    <w:rsid w:val="00476EB7"/>
    <w:rsid w:val="00496D0A"/>
    <w:rsid w:val="004B138F"/>
    <w:rsid w:val="004E430D"/>
    <w:rsid w:val="00510B65"/>
    <w:rsid w:val="00520A93"/>
    <w:rsid w:val="005245A7"/>
    <w:rsid w:val="00590DCA"/>
    <w:rsid w:val="005A3E72"/>
    <w:rsid w:val="005C58D5"/>
    <w:rsid w:val="005D3EE3"/>
    <w:rsid w:val="005E1A4C"/>
    <w:rsid w:val="005E68F8"/>
    <w:rsid w:val="00603F47"/>
    <w:rsid w:val="00624084"/>
    <w:rsid w:val="00624999"/>
    <w:rsid w:val="00624F2A"/>
    <w:rsid w:val="00625E80"/>
    <w:rsid w:val="00660611"/>
    <w:rsid w:val="00671F87"/>
    <w:rsid w:val="00675BB8"/>
    <w:rsid w:val="0068374C"/>
    <w:rsid w:val="006859F5"/>
    <w:rsid w:val="006C0C0F"/>
    <w:rsid w:val="006D3C4B"/>
    <w:rsid w:val="006D4973"/>
    <w:rsid w:val="006F4CAB"/>
    <w:rsid w:val="00706409"/>
    <w:rsid w:val="00710290"/>
    <w:rsid w:val="00711EB1"/>
    <w:rsid w:val="00715991"/>
    <w:rsid w:val="00756F46"/>
    <w:rsid w:val="00767549"/>
    <w:rsid w:val="00776045"/>
    <w:rsid w:val="0078307A"/>
    <w:rsid w:val="007B13D1"/>
    <w:rsid w:val="007B7714"/>
    <w:rsid w:val="007D642A"/>
    <w:rsid w:val="007E4A31"/>
    <w:rsid w:val="008039F2"/>
    <w:rsid w:val="00846647"/>
    <w:rsid w:val="00851594"/>
    <w:rsid w:val="00854AB8"/>
    <w:rsid w:val="00877A00"/>
    <w:rsid w:val="00894DF3"/>
    <w:rsid w:val="008A00A8"/>
    <w:rsid w:val="008B27BA"/>
    <w:rsid w:val="008C5981"/>
    <w:rsid w:val="0090591E"/>
    <w:rsid w:val="009513FB"/>
    <w:rsid w:val="00970C9F"/>
    <w:rsid w:val="0097605C"/>
    <w:rsid w:val="00993FA8"/>
    <w:rsid w:val="00995B5A"/>
    <w:rsid w:val="00995B7A"/>
    <w:rsid w:val="009D67AE"/>
    <w:rsid w:val="009E3F04"/>
    <w:rsid w:val="009F6CDC"/>
    <w:rsid w:val="00A05323"/>
    <w:rsid w:val="00A119DD"/>
    <w:rsid w:val="00A1652F"/>
    <w:rsid w:val="00A71882"/>
    <w:rsid w:val="00A72146"/>
    <w:rsid w:val="00A877BB"/>
    <w:rsid w:val="00A95497"/>
    <w:rsid w:val="00A964BF"/>
    <w:rsid w:val="00AB2F26"/>
    <w:rsid w:val="00AC203B"/>
    <w:rsid w:val="00AC444D"/>
    <w:rsid w:val="00AD4F35"/>
    <w:rsid w:val="00AE5C56"/>
    <w:rsid w:val="00B01065"/>
    <w:rsid w:val="00B205F5"/>
    <w:rsid w:val="00B24271"/>
    <w:rsid w:val="00B52880"/>
    <w:rsid w:val="00BC2EBA"/>
    <w:rsid w:val="00BD1F88"/>
    <w:rsid w:val="00BF07D1"/>
    <w:rsid w:val="00BF5336"/>
    <w:rsid w:val="00BF74C1"/>
    <w:rsid w:val="00C04DE5"/>
    <w:rsid w:val="00C06EDA"/>
    <w:rsid w:val="00C107DB"/>
    <w:rsid w:val="00C17573"/>
    <w:rsid w:val="00C20FDE"/>
    <w:rsid w:val="00C50F79"/>
    <w:rsid w:val="00C93624"/>
    <w:rsid w:val="00CA604E"/>
    <w:rsid w:val="00CB0B23"/>
    <w:rsid w:val="00CB2908"/>
    <w:rsid w:val="00CE5AF4"/>
    <w:rsid w:val="00CF5D9B"/>
    <w:rsid w:val="00D44F52"/>
    <w:rsid w:val="00D83398"/>
    <w:rsid w:val="00D874D1"/>
    <w:rsid w:val="00DA01AB"/>
    <w:rsid w:val="00DC574E"/>
    <w:rsid w:val="00DF04E2"/>
    <w:rsid w:val="00DF7B50"/>
    <w:rsid w:val="00E32C5A"/>
    <w:rsid w:val="00E80F81"/>
    <w:rsid w:val="00E9276D"/>
    <w:rsid w:val="00E94F27"/>
    <w:rsid w:val="00EC0AD2"/>
    <w:rsid w:val="00EE0A27"/>
    <w:rsid w:val="00EE2E67"/>
    <w:rsid w:val="00EE7FE8"/>
    <w:rsid w:val="00F12379"/>
    <w:rsid w:val="00F147C9"/>
    <w:rsid w:val="00F2566B"/>
    <w:rsid w:val="00F3097C"/>
    <w:rsid w:val="00F41AC9"/>
    <w:rsid w:val="00F77C9C"/>
    <w:rsid w:val="00FC44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9CC8E30-02F0-43C2-878F-6FB45877E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6D0A"/>
    <w:pPr>
      <w:suppressAutoHyphens/>
    </w:pPr>
    <w:rPr>
      <w:rFonts w:ascii="Arial" w:eastAsia="Calibri" w:hAnsi="Arial" w:cs="Arial"/>
      <w:sz w:val="22"/>
      <w:szCs w:val="22"/>
      <w:lang w:eastAsia="en-US"/>
    </w:rPr>
  </w:style>
  <w:style w:type="paragraph" w:styleId="berschrift1">
    <w:name w:val="heading 1"/>
    <w:basedOn w:val="Standard"/>
    <w:next w:val="Standard"/>
    <w:qFormat/>
    <w:pPr>
      <w:keepNext/>
      <w:spacing w:before="48" w:after="48"/>
      <w:jc w:val="center"/>
      <w:outlineLvl w:val="0"/>
    </w:pPr>
    <w:rPr>
      <w:b/>
    </w:rPr>
  </w:style>
  <w:style w:type="paragraph" w:styleId="berschrift2">
    <w:name w:val="heading 2"/>
    <w:basedOn w:val="Standard"/>
    <w:next w:val="Standard"/>
    <w:qFormat/>
    <w:pPr>
      <w:keepNext/>
      <w:tabs>
        <w:tab w:val="left" w:pos="284"/>
      </w:tabs>
      <w:jc w:val="both"/>
      <w:outlineLvl w:val="1"/>
    </w:pPr>
    <w:rPr>
      <w:rFonts w:eastAsia="Arial Unicode MS"/>
      <w:b/>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uiPriority w:val="99"/>
    <w:unhideWhenUsed/>
    <w:rsid w:val="00496D0A"/>
    <w:pPr>
      <w:tabs>
        <w:tab w:val="center" w:pos="4536"/>
        <w:tab w:val="right" w:pos="9072"/>
      </w:tabs>
    </w:pPr>
    <w:rPr>
      <w:rFonts w:ascii="Arial" w:eastAsia="Calibri" w:hAnsi="Arial" w:cs="Arial"/>
      <w:sz w:val="22"/>
      <w:szCs w:val="22"/>
      <w:lang w:eastAsia="en-US"/>
    </w:rPr>
  </w:style>
  <w:style w:type="paragraph" w:styleId="Fuzeile">
    <w:name w:val="footer"/>
    <w:basedOn w:val="Standard"/>
    <w:unhideWhenUsed/>
    <w:rsid w:val="00496D0A"/>
    <w:pPr>
      <w:tabs>
        <w:tab w:val="center" w:pos="4536"/>
        <w:tab w:val="right" w:pos="9072"/>
      </w:tabs>
    </w:pPr>
  </w:style>
  <w:style w:type="character" w:styleId="Seitenzahl">
    <w:name w:val="page number"/>
    <w:basedOn w:val="Absatz-Standardschriftart"/>
  </w:style>
  <w:style w:type="paragraph" w:customStyle="1" w:styleId="1ptlinksbndig">
    <w:name w:val="1pt linksbündig"/>
    <w:basedOn w:val="Standard"/>
    <w:next w:val="Standard"/>
    <w:qFormat/>
    <w:rsid w:val="00496D0A"/>
    <w:rPr>
      <w:rFonts w:eastAsia="Times New Roman" w:cs="Times New Roman"/>
      <w:sz w:val="2"/>
      <w:szCs w:val="20"/>
      <w:lang w:eastAsia="de-DE"/>
    </w:rPr>
  </w:style>
  <w:style w:type="paragraph" w:customStyle="1" w:styleId="Folgeseitenhinweis10ptrechtsbndig">
    <w:name w:val="Folgeseitenhinweis 10 pt rechtsbündig"/>
    <w:basedOn w:val="Fuzeile"/>
    <w:next w:val="Fuzeile"/>
    <w:qFormat/>
    <w:rsid w:val="00496D0A"/>
    <w:pPr>
      <w:jc w:val="right"/>
    </w:pPr>
    <w:rPr>
      <w:rFonts w:eastAsia="Times New Roman" w:cs="Times New Roman"/>
      <w:sz w:val="20"/>
      <w:szCs w:val="20"/>
      <w:lang w:eastAsia="de-DE"/>
    </w:rPr>
  </w:style>
  <w:style w:type="paragraph" w:customStyle="1" w:styleId="Kopfzeile10ptzentriert">
    <w:name w:val="Kopfzeile 10 pt zentriert"/>
    <w:basedOn w:val="Standard"/>
    <w:next w:val="Standard"/>
    <w:qFormat/>
    <w:rsid w:val="00496D0A"/>
    <w:pPr>
      <w:tabs>
        <w:tab w:val="center" w:pos="4536"/>
        <w:tab w:val="right" w:pos="9072"/>
      </w:tabs>
      <w:jc w:val="center"/>
    </w:pPr>
    <w:rPr>
      <w:rFonts w:eastAsia="Times New Roman" w:cs="Times New Roman"/>
      <w:snapToGrid w:val="0"/>
      <w:sz w:val="20"/>
      <w:szCs w:val="20"/>
      <w:lang w:eastAsia="de-DE"/>
    </w:rPr>
  </w:style>
  <w:style w:type="paragraph" w:customStyle="1" w:styleId="StandLangbezeichnung7pt">
    <w:name w:val="Stand Langbezeichnung 7 pt"/>
    <w:basedOn w:val="Fuzeile"/>
    <w:qFormat/>
    <w:rsid w:val="00496D0A"/>
    <w:rPr>
      <w:rFonts w:eastAsia="Times New Roman" w:cs="Times New Roman"/>
      <w:sz w:val="14"/>
      <w:szCs w:val="20"/>
      <w:lang w:eastAsia="de-DE"/>
    </w:rPr>
  </w:style>
  <w:style w:type="paragraph" w:customStyle="1" w:styleId="Standard12ptnach">
    <w:name w:val="Standard 12pt nach"/>
    <w:basedOn w:val="Standard"/>
    <w:next w:val="Standard"/>
    <w:qFormat/>
    <w:rsid w:val="00496D0A"/>
    <w:pPr>
      <w:spacing w:after="240"/>
    </w:pPr>
    <w:rPr>
      <w:rFonts w:eastAsia="Times New Roman" w:cs="Times New Roman"/>
      <w:szCs w:val="20"/>
      <w:lang w:eastAsia="de-DE"/>
    </w:rPr>
  </w:style>
  <w:style w:type="character" w:customStyle="1" w:styleId="KurznameimFu10pt">
    <w:name w:val="Kurzname im Fuß 10 pt"/>
    <w:qFormat/>
    <w:rsid w:val="00496D0A"/>
    <w:rPr>
      <w:rFonts w:ascii="Arial" w:hAnsi="Arial"/>
      <w:sz w:val="20"/>
    </w:rPr>
  </w:style>
  <w:style w:type="paragraph" w:styleId="Sprechblasentext">
    <w:name w:val="Balloon Text"/>
    <w:basedOn w:val="Standard"/>
    <w:link w:val="SprechblasentextZchn"/>
    <w:rsid w:val="004E430D"/>
    <w:rPr>
      <w:rFonts w:ascii="Tahoma" w:hAnsi="Tahoma" w:cs="Tahoma"/>
      <w:sz w:val="16"/>
      <w:szCs w:val="16"/>
    </w:rPr>
  </w:style>
  <w:style w:type="character" w:customStyle="1" w:styleId="SprechblasentextZchn">
    <w:name w:val="Sprechblasentext Zchn"/>
    <w:link w:val="Sprechblasentext"/>
    <w:rsid w:val="004E430D"/>
    <w:rPr>
      <w:rFonts w:ascii="Tahoma" w:eastAsia="Calibri" w:hAnsi="Tahoma" w:cs="Tahoma"/>
      <w:sz w:val="16"/>
      <w:szCs w:val="16"/>
      <w:lang w:eastAsia="en-US"/>
    </w:rPr>
  </w:style>
  <w:style w:type="character" w:styleId="Kommentarzeichen">
    <w:name w:val="annotation reference"/>
    <w:rsid w:val="007D642A"/>
    <w:rPr>
      <w:sz w:val="16"/>
      <w:szCs w:val="16"/>
    </w:rPr>
  </w:style>
  <w:style w:type="paragraph" w:styleId="Kommentartext">
    <w:name w:val="annotation text"/>
    <w:basedOn w:val="Standard"/>
    <w:link w:val="KommentartextZchn"/>
    <w:rsid w:val="007D642A"/>
    <w:rPr>
      <w:sz w:val="20"/>
      <w:szCs w:val="20"/>
    </w:rPr>
  </w:style>
  <w:style w:type="character" w:customStyle="1" w:styleId="KommentartextZchn">
    <w:name w:val="Kommentartext Zchn"/>
    <w:link w:val="Kommentartext"/>
    <w:rsid w:val="007D642A"/>
    <w:rPr>
      <w:rFonts w:ascii="Arial" w:eastAsia="Calibri" w:hAnsi="Arial" w:cs="Arial"/>
      <w:lang w:eastAsia="en-US"/>
    </w:rPr>
  </w:style>
  <w:style w:type="paragraph" w:styleId="Kommentarthema">
    <w:name w:val="annotation subject"/>
    <w:basedOn w:val="Kommentartext"/>
    <w:next w:val="Kommentartext"/>
    <w:link w:val="KommentarthemaZchn"/>
    <w:rsid w:val="007D642A"/>
    <w:rPr>
      <w:b/>
      <w:bCs/>
    </w:rPr>
  </w:style>
  <w:style w:type="character" w:customStyle="1" w:styleId="KommentarthemaZchn">
    <w:name w:val="Kommentarthema Zchn"/>
    <w:link w:val="Kommentarthema"/>
    <w:rsid w:val="007D642A"/>
    <w:rPr>
      <w:rFonts w:ascii="Arial" w:eastAsia="Calibri" w:hAnsi="Arial" w:cs="Arial"/>
      <w:b/>
      <w:bCs/>
      <w:lang w:eastAsia="en-US"/>
    </w:rPr>
  </w:style>
  <w:style w:type="character" w:styleId="Hyperlink">
    <w:name w:val="Hyperlink"/>
    <w:rsid w:val="00894DF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kationen.dguv.de/dguv/udt_dguv_main.aspx?FDOCUID=264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UV.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65B0-6D51-4CD9-BA72-6C62C73F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UV.dot</Template>
  <TotalTime>0</TotalTime>
  <Pages>2</Pages>
  <Words>489</Words>
  <Characters>3083</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Kausalitäts- und Beweisgrundsätze der gesetzlichen Unfallversicherung</vt:lpstr>
    </vt:vector>
  </TitlesOfParts>
  <Company>BGRCI</Company>
  <LinksUpToDate>false</LinksUpToDate>
  <CharactersWithSpaces>3565</CharactersWithSpaces>
  <SharedDoc>false</SharedDoc>
  <HyperlinkBase>www.dguv.de/formtexte</HyperlinkBase>
  <HLinks>
    <vt:vector size="6" baseType="variant">
      <vt:variant>
        <vt:i4>1835090</vt:i4>
      </vt:variant>
      <vt:variant>
        <vt:i4>0</vt:i4>
      </vt:variant>
      <vt:variant>
        <vt:i4>0</vt:i4>
      </vt:variant>
      <vt:variant>
        <vt:i4>5</vt:i4>
      </vt:variant>
      <vt:variant>
        <vt:lpwstr>http://publikationen.dguv.de/dguv/udt_dguv_main.aspx?FDOCUID=26495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Kausalitäts- und Beweisgrundsätze der gesetzlichen Unfallversicherung</dc:title>
  <dc:subject>1115</dc:subject>
  <dc:creator>Matthias Meister</dc:creator>
  <cp:keywords/>
  <cp:lastModifiedBy>Pukies, Kristin</cp:lastModifiedBy>
  <cp:revision>2</cp:revision>
  <cp:lastPrinted>2015-07-20T13:39:00Z</cp:lastPrinted>
  <dcterms:created xsi:type="dcterms:W3CDTF">2020-11-02T11:50:00Z</dcterms:created>
  <dcterms:modified xsi:type="dcterms:W3CDTF">2020-11-02T11:50:00Z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F 9000</vt:lpwstr>
  </property>
  <property fmtid="{D5CDD505-2E9C-101B-9397-08002B2CF9AE}" pid="3" name="Stand">
    <vt:lpwstr>1115</vt:lpwstr>
  </property>
  <property fmtid="{D5CDD505-2E9C-101B-9397-08002B2CF9AE}" pid="4" name="Bezeichnung">
    <vt:lpwstr>Kausalitäts- und Beweisgrundsätze der gesetzlichen Unfallversicherung</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ies>
</file>